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b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auto"/>
          <w:sz w:val="44"/>
          <w:szCs w:val="44"/>
          <w:lang w:eastAsia="zh-CN"/>
        </w:rPr>
        <w:t>南江县发展和改革局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b/>
          <w:color w:val="auto"/>
          <w:sz w:val="44"/>
          <w:szCs w:val="44"/>
        </w:rPr>
      </w:pPr>
      <w:r>
        <w:rPr>
          <w:rFonts w:ascii="方正小标宋简体" w:eastAsia="方正小标宋简体"/>
          <w:b/>
          <w:color w:val="auto"/>
          <w:sz w:val="44"/>
          <w:szCs w:val="44"/>
        </w:rPr>
        <w:t>2019</w:t>
      </w:r>
      <w:r>
        <w:rPr>
          <w:rFonts w:hint="eastAsia" w:ascii="方正小标宋简体" w:eastAsia="方正小标宋简体"/>
          <w:b/>
          <w:color w:val="auto"/>
          <w:sz w:val="44"/>
          <w:szCs w:val="44"/>
          <w:lang w:eastAsia="zh-CN"/>
        </w:rPr>
        <w:t>年政府</w:t>
      </w:r>
      <w:r>
        <w:rPr>
          <w:rFonts w:hint="eastAsia" w:ascii="方正小标宋简体" w:eastAsia="方正小标宋简体"/>
          <w:b/>
          <w:color w:val="auto"/>
          <w:sz w:val="44"/>
          <w:szCs w:val="44"/>
        </w:rPr>
        <w:t>信息公开</w:t>
      </w:r>
      <w:r>
        <w:rPr>
          <w:rFonts w:hint="eastAsia" w:ascii="方正小标宋简体" w:eastAsia="方正小标宋简体"/>
          <w:b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简体" w:eastAsia="方正小标宋简体"/>
          <w:b/>
          <w:color w:val="auto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eastAsia="方正小标宋简体"/>
          <w:b/>
          <w:color w:val="auto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根据《中华人民共和国政府信息公开条例》（以下简称《条例》）和省、市相关规定，特向社会公布201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度本级政府（本部门）信息公开工作年度报告。本报告由概述、主动公开政府信息情况、依申请公开政府信息情况、咨询和投诉情况、行政复议和行政诉讼情况、工作人员和费用支出情况、存在的主要问题及改进情况、其他需要报告的事项共八个部分组成。本报告中所列数据的统计期限自201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年1月1日起至201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止。本报告的电子版可在（http://www.scnj.gov.cn/“南江县政务信息公开”县级部门信息公开目录网页）下载。如对本报告有任何疑问，请与南江县发展和改革局联系（地址：南江县南江镇党政中心813，邮编：635600，电话：0827-8222658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ascii="黑体" w:hAnsi="黑体" w:eastAsia="黑体"/>
          <w:b/>
          <w:bCs/>
          <w:color w:val="auto"/>
          <w:kern w:val="2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kern w:val="2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b/>
          <w:bCs/>
          <w:color w:val="auto"/>
          <w:kern w:val="2"/>
          <w:sz w:val="32"/>
          <w:szCs w:val="32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hint="eastAsia" w:ascii="黑体" w:hAnsi="黑体" w:eastAsia="黑体"/>
          <w:b/>
          <w:bCs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年，我局按照《关于做好2019年度政府信息公开年度报告编制公布工作的通知》（南府办函〔201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号）要求，</w:t>
      </w:r>
      <w:r>
        <w:rPr>
          <w:rFonts w:hint="eastAsia" w:ascii="仿宋_GB2312" w:hAnsi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健全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政府信息公开工作领导小组，加强组织领导，健全规章制度，认真抓好落实，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及时、规范地公开我局应公开的政务信息，确保公开信息的准确性、权威性、完整性和时效性。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color w:val="auto"/>
          <w:kern w:val="2"/>
          <w:sz w:val="32"/>
          <w:szCs w:val="32"/>
          <w:lang w:val="en-US" w:eastAsia="zh-CN"/>
        </w:rPr>
        <w:t xml:space="preserve">  二、</w:t>
      </w:r>
      <w:r>
        <w:rPr>
          <w:rFonts w:hint="eastAsia" w:ascii="黑体" w:hAnsi="黑体" w:eastAsia="黑体"/>
          <w:b/>
          <w:bCs/>
          <w:color w:val="auto"/>
          <w:kern w:val="2"/>
          <w:sz w:val="32"/>
          <w:szCs w:val="32"/>
        </w:rPr>
        <w:t>主动公开政府信息情况</w:t>
      </w:r>
    </w:p>
    <w:tbl>
      <w:tblPr>
        <w:tblStyle w:val="5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0"/>
        <w:gridCol w:w="1968"/>
        <w:gridCol w:w="1847"/>
        <w:gridCol w:w="2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70" w:type="dxa"/>
            <w:gridSpan w:val="4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本年新制作数量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本年新公开数量</w:t>
            </w: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规章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规范性文件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本年增</w:t>
            </w: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/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减</w:t>
            </w: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行政许可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其他对外管理服务事项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19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18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本年增</w:t>
            </w: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/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减</w:t>
            </w: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行政处罚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default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行政强制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hint="eastAsia"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本年增</w:t>
            </w: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/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9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eastAsia="仿宋_GB2312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行政事业性收费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黑体" w:cs="黑体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cs="黑体"/>
                <w:color w:val="auto"/>
                <w:szCs w:val="21"/>
              </w:rPr>
              <w:t>27</w:t>
            </w:r>
          </w:p>
        </w:tc>
        <w:tc>
          <w:tcPr>
            <w:tcW w:w="2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黑体" w:cs="黑体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黑体" w:cs="黑体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0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本年增</w:t>
            </w: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/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9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政府集中采购</w:t>
            </w:r>
          </w:p>
        </w:tc>
        <w:tc>
          <w:tcPr>
            <w:tcW w:w="381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0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三、收到和处理政府信息公开申请情况</w:t>
      </w:r>
    </w:p>
    <w:tbl>
      <w:tblPr>
        <w:tblStyle w:val="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8"/>
        <w:gridCol w:w="1989"/>
        <w:gridCol w:w="709"/>
        <w:gridCol w:w="709"/>
        <w:gridCol w:w="850"/>
        <w:gridCol w:w="851"/>
        <w:gridCol w:w="850"/>
        <w:gridCol w:w="567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686" w:type="dxa"/>
            <w:gridSpan w:val="3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501" w:type="dxa"/>
            <w:gridSpan w:val="7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3686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自然人</w:t>
            </w:r>
          </w:p>
        </w:tc>
        <w:tc>
          <w:tcPr>
            <w:tcW w:w="3827" w:type="dxa"/>
            <w:gridSpan w:val="5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法人或其他组织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686" w:type="dxa"/>
            <w:gridSpan w:val="3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商业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企业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科研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机构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其他</w:t>
            </w:r>
          </w:p>
        </w:tc>
        <w:tc>
          <w:tcPr>
            <w:tcW w:w="965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368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68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三、本年度办反办理结果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（一）予以公开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（三）不予公开</w:t>
            </w: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1.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属于国家秘密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2.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其他法律行政法规禁止公开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3.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危及“三安全一稳定”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4.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保护第三方合法权益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5.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属于三类内部事务信息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6.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属于四类过程性信息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7.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属于行政执法案卷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8.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属于行政查询事项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（四）无法提供</w:t>
            </w: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1.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本机关不掌握相关政府信息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2.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没有现成信息需要另行制作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3.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补正后申请内容仍不明确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（五）不予处理</w:t>
            </w: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1.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信访举报投诉类申请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2.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重复申请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3.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要求提供公开出版物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4.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无正当理由大量反复申请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  <w:t>5.</w:t>
            </w: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（六）其他处理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（七）总计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3686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</w:rPr>
              <w:t>四、结转下年度继续办理</w:t>
            </w: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 w:cs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96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 w:cs="黑体"/>
                <w:color w:val="auto"/>
                <w:kern w:val="2"/>
                <w:sz w:val="21"/>
                <w:szCs w:val="21"/>
                <w:lang w:eastAsia="zh-CN"/>
              </w:rPr>
              <w:t>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四、政府信息公开行政复议、行政诉讼情况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行政复议</w:t>
            </w:r>
          </w:p>
        </w:tc>
        <w:tc>
          <w:tcPr>
            <w:tcW w:w="6041" w:type="dxa"/>
            <w:gridSpan w:val="1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未经复议直接起诉</w:t>
            </w:r>
          </w:p>
        </w:tc>
        <w:tc>
          <w:tcPr>
            <w:tcW w:w="3021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总计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尚未审结</w:t>
            </w:r>
          </w:p>
        </w:tc>
        <w:tc>
          <w:tcPr>
            <w:tcW w:w="6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-69" w:leftChars="-33" w:right="-17" w:rightChars="-8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0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hint="eastAsia" w:ascii="仿宋_GB2312" w:hAnsi="黑体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auto"/>
              <w:rPr>
                <w:rFonts w:ascii="仿宋_GB2312" w:hAnsi="黑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hAnsi="黑体"/>
                <w:color w:val="auto"/>
                <w:kern w:val="2"/>
                <w:sz w:val="21"/>
                <w:szCs w:val="21"/>
                <w:lang w:val="en-US" w:eastAsia="zh-CN"/>
              </w:rPr>
              <w:t>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2019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年，我局政府信息公开工作围绕全局的中心工作开展，取得了明显的成效，但仍存在不足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政府信息公开工作规范性有待进一步加强，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向社会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及时性公开有待进一步加快。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年，我局将采取措施加以改进：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加强学习，进一步提高信息公开工作人员的思想认识。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压实责任，及时、全面更新政府信息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在信息公开规范化、制度化、程序化等方面取得新进展。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创新工作思路，完善工作平台上取得新突破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无需说明的其他事项</w:t>
      </w: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120" w:firstLineChars="1600"/>
        <w:jc w:val="both"/>
        <w:textAlignment w:val="auto"/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南江县发展和改革局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     2019年12月31日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南江县发展和改革局办公室                2019年12月31日 印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229CA"/>
    <w:rsid w:val="01051B90"/>
    <w:rsid w:val="011C615F"/>
    <w:rsid w:val="015D307F"/>
    <w:rsid w:val="02550929"/>
    <w:rsid w:val="0265468F"/>
    <w:rsid w:val="02E3158B"/>
    <w:rsid w:val="042C0FCE"/>
    <w:rsid w:val="05126AF2"/>
    <w:rsid w:val="07BD4CE7"/>
    <w:rsid w:val="07FA52EC"/>
    <w:rsid w:val="0BD64A1A"/>
    <w:rsid w:val="0BD82740"/>
    <w:rsid w:val="0C7A5270"/>
    <w:rsid w:val="0CCC3D7F"/>
    <w:rsid w:val="0EB2073C"/>
    <w:rsid w:val="0EC023A9"/>
    <w:rsid w:val="113B5C17"/>
    <w:rsid w:val="11AA1971"/>
    <w:rsid w:val="12EA690B"/>
    <w:rsid w:val="15783E19"/>
    <w:rsid w:val="17644CF3"/>
    <w:rsid w:val="18447859"/>
    <w:rsid w:val="18DB7E98"/>
    <w:rsid w:val="192C4B3D"/>
    <w:rsid w:val="1A2A1FFF"/>
    <w:rsid w:val="1E4229CA"/>
    <w:rsid w:val="22786247"/>
    <w:rsid w:val="24134C14"/>
    <w:rsid w:val="26F155F0"/>
    <w:rsid w:val="27FA206C"/>
    <w:rsid w:val="29D30782"/>
    <w:rsid w:val="2E651BCE"/>
    <w:rsid w:val="30231FE1"/>
    <w:rsid w:val="31490133"/>
    <w:rsid w:val="35FC3E41"/>
    <w:rsid w:val="37354280"/>
    <w:rsid w:val="37A0273C"/>
    <w:rsid w:val="390D664C"/>
    <w:rsid w:val="3BC15A87"/>
    <w:rsid w:val="4562661C"/>
    <w:rsid w:val="457B4D46"/>
    <w:rsid w:val="46E563B0"/>
    <w:rsid w:val="4A2446B5"/>
    <w:rsid w:val="50381025"/>
    <w:rsid w:val="51C83670"/>
    <w:rsid w:val="5211455A"/>
    <w:rsid w:val="54195320"/>
    <w:rsid w:val="566902E6"/>
    <w:rsid w:val="56DC7FA8"/>
    <w:rsid w:val="5732602D"/>
    <w:rsid w:val="57993402"/>
    <w:rsid w:val="5CC71877"/>
    <w:rsid w:val="5CF964AC"/>
    <w:rsid w:val="61353089"/>
    <w:rsid w:val="6210544C"/>
    <w:rsid w:val="62B25BCD"/>
    <w:rsid w:val="64D42AAD"/>
    <w:rsid w:val="67446D32"/>
    <w:rsid w:val="681E39B1"/>
    <w:rsid w:val="69744579"/>
    <w:rsid w:val="6E7B7066"/>
    <w:rsid w:val="6EAA488C"/>
    <w:rsid w:val="72577BA3"/>
    <w:rsid w:val="734670C3"/>
    <w:rsid w:val="73EB5F5F"/>
    <w:rsid w:val="74463A1B"/>
    <w:rsid w:val="755F1455"/>
    <w:rsid w:val="76CE199D"/>
    <w:rsid w:val="77BB4D5F"/>
    <w:rsid w:val="787F2B9D"/>
    <w:rsid w:val="7AAC233B"/>
    <w:rsid w:val="7E855135"/>
    <w:rsid w:val="7FA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仿宋_GB2312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2019-12-25T08:22:00Z</dcterms:created>
  <dc:creator>Administrator</dc:creator>
  <cp:lastModifiedBy>Administrator</cp:lastModifiedBy>
  <cp:lastPrinted>2020-01-03T07:39:00Z</cp:lastPrinted>
  <dcterms:modified xsi:type="dcterms:W3CDTF">2020-02-20T08:25:54Z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