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="1674" w:tblpY="22"/>
        <w:tblOverlap w:val="never"/>
        <w:tblW w:w="9252" w:type="dxa"/>
        <w:tblInd w:w="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733"/>
        <w:gridCol w:w="940"/>
        <w:gridCol w:w="456"/>
        <w:gridCol w:w="2693"/>
        <w:gridCol w:w="649"/>
        <w:gridCol w:w="2328"/>
        <w:gridCol w:w="708"/>
      </w:tblGrid>
      <w:tr w14:paraId="4034C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08" w:type="dxa"/>
          <w:trHeight w:val="450" w:hRule="atLeast"/>
        </w:trPr>
        <w:tc>
          <w:tcPr>
            <w:tcW w:w="85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05EE5">
            <w:pPr>
              <w:jc w:val="center"/>
              <w:rPr>
                <w:rFonts w:eastAsia="黑体"/>
                <w:color w:val="000000"/>
                <w:sz w:val="36"/>
                <w:szCs w:val="36"/>
              </w:rPr>
            </w:pPr>
            <w:r>
              <w:rPr>
                <w:rFonts w:eastAsia="方正小标宋简体"/>
                <w:b/>
                <w:bCs/>
                <w:color w:val="000000"/>
                <w:sz w:val="32"/>
                <w:szCs w:val="32"/>
              </w:rPr>
              <w:t>202</w:t>
            </w:r>
            <w:r>
              <w:rPr>
                <w:rFonts w:hint="eastAsia" w:eastAsia="方正小标宋简体"/>
                <w:b/>
                <w:bCs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eastAsia="方正小标宋简体"/>
                <w:b/>
                <w:bCs/>
                <w:color w:val="000000"/>
                <w:sz w:val="32"/>
                <w:szCs w:val="32"/>
              </w:rPr>
              <w:t>年</w:t>
            </w:r>
            <w:r>
              <w:rPr>
                <w:rFonts w:hint="eastAsia" w:eastAsia="方正小标宋简体"/>
                <w:b/>
                <w:bCs/>
                <w:color w:val="000000"/>
                <w:sz w:val="32"/>
                <w:szCs w:val="32"/>
                <w:lang w:val="en-US" w:eastAsia="zh-CN"/>
              </w:rPr>
              <w:t>县</w:t>
            </w:r>
            <w:r>
              <w:rPr>
                <w:rFonts w:eastAsia="方正小标宋简体"/>
                <w:b/>
                <w:bCs/>
                <w:color w:val="000000"/>
                <w:sz w:val="32"/>
                <w:szCs w:val="32"/>
              </w:rPr>
              <w:t>级部门整体支出绩效评价指标体系</w:t>
            </w:r>
          </w:p>
        </w:tc>
      </w:tr>
      <w:tr w14:paraId="3547F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95E56">
            <w:pPr>
              <w:jc w:val="center"/>
              <w:rPr>
                <w:rFonts w:eastAsia="方正仿宋简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b/>
                <w:bCs/>
                <w:color w:val="000000"/>
                <w:sz w:val="18"/>
                <w:szCs w:val="18"/>
              </w:rPr>
              <w:t>一级指标</w:t>
            </w:r>
          </w:p>
        </w:tc>
        <w:tc>
          <w:tcPr>
            <w:tcW w:w="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8E1F8">
            <w:pPr>
              <w:jc w:val="center"/>
              <w:rPr>
                <w:rFonts w:eastAsia="方正仿宋简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b/>
                <w:bCs/>
                <w:color w:val="000000"/>
                <w:sz w:val="18"/>
                <w:szCs w:val="18"/>
              </w:rPr>
              <w:t>二级指标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00DDC">
            <w:pPr>
              <w:jc w:val="center"/>
              <w:rPr>
                <w:rFonts w:eastAsia="方正仿宋简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b/>
                <w:bCs/>
                <w:color w:val="000000"/>
                <w:sz w:val="18"/>
                <w:szCs w:val="18"/>
              </w:rPr>
              <w:t>三级指标</w:t>
            </w:r>
          </w:p>
        </w:tc>
        <w:tc>
          <w:tcPr>
            <w:tcW w:w="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60756">
            <w:pPr>
              <w:jc w:val="center"/>
              <w:rPr>
                <w:rFonts w:eastAsia="方正仿宋简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b/>
                <w:bCs/>
                <w:color w:val="000000"/>
                <w:sz w:val="18"/>
                <w:szCs w:val="18"/>
              </w:rPr>
              <w:t>分值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C6732">
            <w:pPr>
              <w:jc w:val="center"/>
              <w:rPr>
                <w:rFonts w:eastAsia="方正仿宋简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b/>
                <w:bCs/>
                <w:color w:val="000000"/>
                <w:sz w:val="18"/>
                <w:szCs w:val="18"/>
              </w:rPr>
              <w:t>评价内容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2B14A">
            <w:pPr>
              <w:jc w:val="center"/>
              <w:rPr>
                <w:rFonts w:eastAsia="方正仿宋简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b/>
                <w:bCs/>
                <w:color w:val="000000"/>
                <w:sz w:val="18"/>
                <w:szCs w:val="18"/>
              </w:rPr>
              <w:t>评价标准及计算方法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72EB1">
            <w:pPr>
              <w:jc w:val="center"/>
              <w:rPr>
                <w:rFonts w:eastAsia="方正仿宋简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b/>
                <w:bCs/>
                <w:color w:val="000000"/>
                <w:sz w:val="18"/>
                <w:szCs w:val="18"/>
              </w:rPr>
              <w:t>评价得分</w:t>
            </w:r>
          </w:p>
        </w:tc>
      </w:tr>
      <w:tr w14:paraId="44167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86E80">
            <w:pPr>
              <w:jc w:val="center"/>
              <w:rPr>
                <w:rFonts w:eastAsia="方正仿宋简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b/>
                <w:bCs/>
                <w:color w:val="000000"/>
                <w:sz w:val="18"/>
                <w:szCs w:val="18"/>
              </w:rPr>
              <w:t>评价得分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1FE72C">
            <w:pPr>
              <w:rPr>
                <w:rFonts w:hint="default" w:eastAsia="方正仿宋简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b/>
                <w:bCs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b/>
                <w:bCs/>
                <w:color w:val="000000"/>
                <w:sz w:val="18"/>
                <w:szCs w:val="18"/>
                <w:lang w:val="en-US" w:eastAsia="zh-CN"/>
              </w:rPr>
              <w:t>93</w:t>
            </w:r>
          </w:p>
        </w:tc>
      </w:tr>
      <w:tr w14:paraId="1ED9E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4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C773F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基础工作管理（15分）</w:t>
            </w:r>
          </w:p>
        </w:tc>
        <w:tc>
          <w:tcPr>
            <w:tcW w:w="7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E4199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组织机构完善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C0366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岗位设置合理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152D1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AD54F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成立各种相应的组织机构及机构合理性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06F0D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成立相应组织机构、内控岗位设置合理得2分，组织机构不健全、内控岗位设置不合理相应扣分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205395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</w:tr>
      <w:tr w14:paraId="3F35E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263C0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09B16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管理制度完善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37B0C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内控制度建立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867A3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11E20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包括制定财政资金管理办法、内控制度，会计核算制度等管理制度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195C1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管理制度完善2分，制度不够完善相应扣分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E6C69B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</w:tr>
      <w:tr w14:paraId="23BD0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A02DB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86067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1436D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内控制度合规性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C31BD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75D23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部门制定的管理制度合法、合规、完整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BADB2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制度合法、合规、完整2分，反之相应扣分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F8C63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</w:tr>
      <w:tr w14:paraId="27CCE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15E46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C1FC3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48684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内控制度执行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C4029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7B590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部门制定的内控制度得到有效执行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88D12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有效执行2分，未能有效执行相应扣分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49360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</w:tr>
      <w:tr w14:paraId="3EED3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D6285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B7203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指标体系完善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302B8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指标体系完善程度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8EDC1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E9F9C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部门制定的项目预算支出评价个性指标体系健全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F6016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个性指标体系健全2分，指标体系不够健全相应扣分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C260D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</w:tr>
      <w:tr w14:paraId="6766B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A5839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6922A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宣传培训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024BA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宣传培训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3CC0C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D7B93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部门对绩效评价工作开展的宣传培训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02DB5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开展了宣传培训1分，未能开展宣传培训相应扣分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2443D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</w:tr>
      <w:tr w14:paraId="29C5C1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903D8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3337A32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会计核算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8D1BF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会计核算及时性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B39CF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E0BF8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会计核算及时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1480E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会计核算及时，日清月结的得1分，核算不及时的相应扣分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3681F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</w:tr>
      <w:tr w14:paraId="37A8C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A9023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F365C65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ADA28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会计核算规范性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B5B3B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FD71F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会计核算规范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5A244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会计核算规范、科目使用准确、原始发票及附件充分、分项目核算的得2分，否则相应扣分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044C1A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</w:tr>
      <w:tr w14:paraId="1EA5A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FE591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35FC415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28452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会计档案管理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2AE54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8FC67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会计档案规范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6DB21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会计档案整理规范的得1分，不规范的相应扣分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2D4157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</w:tr>
      <w:tr w14:paraId="5C9D8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4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F79A6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绩效目标管理（10分）</w:t>
            </w:r>
          </w:p>
        </w:tc>
        <w:tc>
          <w:tcPr>
            <w:tcW w:w="7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C1DEC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绩效目标合理性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2F069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合规性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68FB7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44741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绩效目标管理符合国家法律法规、国民经济和社会发展总体规划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EA373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绩效目标符合相关法规和总体规划1分，绩效目标不够合理的相应扣分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3F4F02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</w:tr>
      <w:tr w14:paraId="284F9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DC176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396D0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8487F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与工作衔接度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4CCDC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9FB83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绩效目标符合部门“三定”方案确定的职责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0DD05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绩效目标符合部分“三定”方案1分，不符合相应扣分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A02C3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</w:tr>
      <w:tr w14:paraId="332B7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36EBA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0A215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2608D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与中长期规划衔接度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F0D7E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0BE4F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绩效目标符合部门制定的中长期规划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E9573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绩效目标符合部门制定的中长期规划1分，不符合相应扣分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B9E91E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</w:tr>
      <w:tr w14:paraId="469D3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945C8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F9A20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绩效目标覆盖率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4B34A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绩效目标覆盖率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B1719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F491B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部门绩效目标覆盖率达到年度预算布置的要求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F3631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  <w:highlight w:val="none"/>
              </w:rPr>
              <w:t>绩效目标覆盖率＝实际申报绩效目标项目资金额/部门项目预算资金总额×100%。每低于10个百分点扣1分，扣完为止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06372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</w:tr>
      <w:tr w14:paraId="13675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91D4F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48FC7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绩效指标明确性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72370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绩效指标完整性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C8E77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7A21F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绩效目标申报表的填写完整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28E95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申报表填写完整1分，不完整相应扣分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364480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</w:tr>
      <w:tr w14:paraId="5CC8C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787AC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1AEC5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7CE0B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绩效指标操作性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F7F80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8B5A5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绩效指标设置清晰、可衡量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5F044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绩效指标设置清晰、可衡量1分，反之相应扣分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B0427E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</w:tr>
      <w:tr w14:paraId="4C38FA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795D4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26899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782D7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与预算资金匹配度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FEDF1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0863E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 xml:space="preserve">绩效指标与本年度部门预算资金相匹配 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128AE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绩效指标与资金相匹配1分，不完全匹配相应扣分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7FF2AE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</w:tr>
      <w:tr w14:paraId="71093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B43C3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bookmarkStart w:id="0" w:name="_GoBack" w:colFirst="4" w:colLast="5"/>
            <w:r>
              <w:rPr>
                <w:rFonts w:eastAsia="方正仿宋简体"/>
                <w:color w:val="000000"/>
                <w:sz w:val="18"/>
                <w:szCs w:val="18"/>
              </w:rPr>
              <w:t>绩效运行监控（15分）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25B3E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预算完成率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8318F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部门预算支出完成率</w:t>
            </w: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8A98D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61EF9">
            <w:pPr>
              <w:rPr>
                <w:rFonts w:eastAsia="方正仿宋简体"/>
                <w:color w:val="000000"/>
                <w:sz w:val="18"/>
                <w:szCs w:val="18"/>
                <w:highlight w:val="none"/>
              </w:rPr>
            </w:pPr>
            <w:r>
              <w:rPr>
                <w:rFonts w:eastAsia="方正仿宋简体"/>
                <w:color w:val="000000"/>
                <w:sz w:val="18"/>
                <w:szCs w:val="18"/>
                <w:highlight w:val="none"/>
              </w:rPr>
              <w:t>部门预算支出完成程度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70DB1">
            <w:pPr>
              <w:rPr>
                <w:rFonts w:eastAsia="方正仿宋简体"/>
                <w:color w:val="000000"/>
                <w:sz w:val="18"/>
                <w:szCs w:val="18"/>
                <w:highlight w:val="none"/>
              </w:rPr>
            </w:pPr>
            <w:r>
              <w:rPr>
                <w:rFonts w:eastAsia="方正仿宋简体"/>
                <w:color w:val="000000"/>
                <w:sz w:val="18"/>
                <w:szCs w:val="18"/>
                <w:highlight w:val="none"/>
              </w:rPr>
              <w:t>预算完成率＝[年度支出完成数/年度支出预算数（含调整预算及结转结余）]×100%。跨年度项目按工程进度或平均年度额分析计算。预算完成率90%及以上的得2分。每低于要求5个百分点扣1分，扣完为止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FA7519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</w:tr>
      <w:tr w14:paraId="3DBA7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51B69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E5A7D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项目预算执行率　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1654F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部门预算项目执行率</w:t>
            </w:r>
          </w:p>
        </w:tc>
        <w:tc>
          <w:tcPr>
            <w:tcW w:w="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0CB5D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3B436">
            <w:pPr>
              <w:rPr>
                <w:rFonts w:eastAsia="方正仿宋简体"/>
                <w:color w:val="000000"/>
                <w:sz w:val="18"/>
                <w:szCs w:val="18"/>
                <w:highlight w:val="none"/>
              </w:rPr>
            </w:pPr>
            <w:r>
              <w:rPr>
                <w:rFonts w:eastAsia="方正仿宋简体"/>
                <w:color w:val="000000"/>
                <w:sz w:val="18"/>
                <w:szCs w:val="18"/>
                <w:highlight w:val="none"/>
              </w:rPr>
              <w:t>部门项目预算执行调整程度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44BA6">
            <w:pPr>
              <w:rPr>
                <w:rFonts w:eastAsia="方正仿宋简体"/>
                <w:color w:val="000000"/>
                <w:sz w:val="18"/>
                <w:szCs w:val="18"/>
                <w:highlight w:val="none"/>
              </w:rPr>
            </w:pPr>
            <w:r>
              <w:rPr>
                <w:rFonts w:eastAsia="方正仿宋简体"/>
                <w:color w:val="000000"/>
                <w:sz w:val="18"/>
                <w:szCs w:val="18"/>
                <w:highlight w:val="none"/>
              </w:rPr>
              <w:t>项目预算执行率＝[年度项目实际支出数/项目预算数（含调整预算及结转结余）]×100%。跨年度项目按工程进度或平均年度额分析计算。预算执行偏差度在10%以内的得2分，每超过5个百分点扣1分，扣完为止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FFA9AB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</w:tr>
      <w:tr w14:paraId="4D5A9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C571D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1DD4B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政府采购监管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35F37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预算执行率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1D7B3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C40C1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部门政府采购预算执行情况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80824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政府采购执行率=[实际政府采购金额/政府采购预算数（含调整预算）]×100%。政府采购预算执行偏差度在10%以内的得1分，超过的不得分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81710D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</w:tr>
      <w:tr w14:paraId="704D95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C958B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2CC9BF7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6E47B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财政审批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16570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FE070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部门政府采购财政审批情况　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F9010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应政府采购未采购的每发生一起扣0.5分，扣完该项得分为止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70B63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</w:tr>
      <w:tr w14:paraId="3D3938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517EB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AAC3DE1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C514B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政府采购合规性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924F7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3BA29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部门政府采购合规性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FC677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存在政府采购违规行为的该项不得分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CCC50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</w:tr>
      <w:tr w14:paraId="1386E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2E68D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25A89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hint="eastAsia" w:eastAsia="方正仿宋简体"/>
                <w:color w:val="000000"/>
                <w:sz w:val="18"/>
                <w:szCs w:val="18"/>
                <w:lang w:eastAsia="zh-CN"/>
              </w:rPr>
              <w:t>“三公”经费</w:t>
            </w:r>
            <w:r>
              <w:rPr>
                <w:rFonts w:eastAsia="方正仿宋简体"/>
                <w:color w:val="000000"/>
                <w:sz w:val="18"/>
                <w:szCs w:val="18"/>
              </w:rPr>
              <w:t xml:space="preserve">控制率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7424D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hint="eastAsia" w:eastAsia="方正仿宋简体"/>
                <w:color w:val="000000"/>
                <w:sz w:val="18"/>
                <w:szCs w:val="18"/>
                <w:lang w:eastAsia="zh-CN"/>
              </w:rPr>
              <w:t>“三公”经费</w:t>
            </w:r>
            <w:r>
              <w:rPr>
                <w:rFonts w:eastAsia="方正仿宋简体"/>
                <w:color w:val="000000"/>
                <w:sz w:val="18"/>
                <w:szCs w:val="18"/>
              </w:rPr>
              <w:t>控制率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D2579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92595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部门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eastAsia="zh-CN"/>
              </w:rPr>
              <w:t>“三公”经费</w:t>
            </w:r>
            <w:r>
              <w:rPr>
                <w:rFonts w:eastAsia="方正仿宋简体"/>
                <w:color w:val="000000"/>
                <w:sz w:val="18"/>
                <w:szCs w:val="18"/>
              </w:rPr>
              <w:t>控制程度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D93A9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hint="eastAsia" w:eastAsia="方正仿宋简体"/>
                <w:color w:val="000000"/>
                <w:sz w:val="18"/>
                <w:szCs w:val="18"/>
                <w:lang w:eastAsia="zh-CN"/>
              </w:rPr>
              <w:t>“三公”经费</w:t>
            </w:r>
            <w:r>
              <w:rPr>
                <w:rFonts w:eastAsia="方正仿宋简体"/>
                <w:color w:val="000000"/>
                <w:sz w:val="18"/>
                <w:szCs w:val="18"/>
              </w:rPr>
              <w:t>控制率＝（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eastAsia="zh-CN"/>
              </w:rPr>
              <w:t>“三公”经费</w:t>
            </w:r>
            <w:r>
              <w:rPr>
                <w:rFonts w:eastAsia="方正仿宋简体"/>
                <w:color w:val="000000"/>
                <w:sz w:val="18"/>
                <w:szCs w:val="18"/>
              </w:rPr>
              <w:t>实际支出数/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eastAsia="zh-CN"/>
              </w:rPr>
              <w:t>“三公”经费预算</w:t>
            </w:r>
            <w:r>
              <w:rPr>
                <w:rFonts w:eastAsia="方正仿宋简体"/>
                <w:color w:val="000000"/>
                <w:sz w:val="18"/>
                <w:szCs w:val="18"/>
              </w:rPr>
              <w:t>数）×100%。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eastAsia="zh-CN"/>
              </w:rPr>
              <w:t>“三公”经费</w:t>
            </w:r>
            <w:r>
              <w:rPr>
                <w:rFonts w:eastAsia="方正仿宋简体"/>
                <w:color w:val="000000"/>
                <w:sz w:val="18"/>
                <w:szCs w:val="18"/>
              </w:rPr>
              <w:t>控制率≤100%的得3分，每高于要求2个百分点扣1分，扣完为止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6F347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</w:tr>
      <w:tr w14:paraId="0EA52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417B3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0FD38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资产管理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73D36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资产管理信息系统建设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F6DA4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90B99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部门资产管理信息系统建设情况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15082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考核部门和单位将国有资产纳入资产信息系统管理情况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eastAsia="方正仿宋简体"/>
                <w:color w:val="000000"/>
                <w:sz w:val="18"/>
                <w:szCs w:val="18"/>
              </w:rPr>
              <w:t>已建好部门资产管理信息系统得1分，未建好不得分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ACA1C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</w:tr>
      <w:tr w14:paraId="7D7F2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F03D4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67739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A9E97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资产清核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E0D14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B8DF0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部门资产清理核实开展情况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F8BBD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考核部门和单位已按要求及时、真实、准确、全面开展资产清查、核实情况得1分，反之不得分；账实不合的按比例扣分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DE5D86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</w:tr>
      <w:tr w14:paraId="758CD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547DD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8D76C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AA54B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日常管理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CCB77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21A36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部门资产登记、上报及管理情况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85A10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考核部门和单位已经对国有资产登记、上报，并出台管理办法、制度等措施得1分，差项按比例得分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499D0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</w:tr>
      <w:tr w14:paraId="4F33D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B2762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FBDA5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预决算信息公开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01C78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预算信息公开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3FB48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DE238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按规定内容、时限公开预算信息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E9BE4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按规定公开预算信息得1分，未按规定公开相应扣减分数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119FF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</w:tr>
      <w:tr w14:paraId="09007B98">
        <w:trPr>
          <w:trHeight w:val="48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40EC9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72AC6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5C188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决算信息公开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2FCD0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ED310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按规定内容、时限公开决算信息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7064E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按规定公开决算信息得1分，未按规定公开相应扣减分数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7AAB4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</w:tr>
      <w:tr w14:paraId="5AAAC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3DFAB">
            <w:pPr>
              <w:jc w:val="center"/>
              <w:rPr>
                <w:rFonts w:eastAsia="方正仿宋简体"/>
                <w:color w:val="000000"/>
                <w:sz w:val="16"/>
                <w:szCs w:val="16"/>
              </w:rPr>
            </w:pPr>
            <w:r>
              <w:rPr>
                <w:rFonts w:eastAsia="方正仿宋简体"/>
                <w:color w:val="000000"/>
                <w:sz w:val="16"/>
                <w:szCs w:val="16"/>
              </w:rPr>
              <w:t>绩效评价实施（15分）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78550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部门项目自评率　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4FB49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部门项目自评率　</w:t>
            </w: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7537A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5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FEF4C">
            <w:pPr>
              <w:rPr>
                <w:rFonts w:eastAsia="方正仿宋简体"/>
                <w:color w:val="000000"/>
                <w:sz w:val="18"/>
                <w:szCs w:val="18"/>
                <w:highlight w:val="none"/>
              </w:rPr>
            </w:pPr>
            <w:r>
              <w:rPr>
                <w:rFonts w:eastAsia="方正仿宋简体"/>
                <w:color w:val="000000"/>
                <w:sz w:val="18"/>
                <w:szCs w:val="18"/>
                <w:highlight w:val="none"/>
              </w:rPr>
              <w:t>部门实施绩效评价项目覆盖情况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EE0D1">
            <w:pPr>
              <w:rPr>
                <w:rFonts w:eastAsia="方正仿宋简体"/>
                <w:color w:val="000000"/>
                <w:sz w:val="18"/>
                <w:szCs w:val="18"/>
                <w:highlight w:val="none"/>
              </w:rPr>
            </w:pPr>
            <w:r>
              <w:rPr>
                <w:rFonts w:eastAsia="方正仿宋简体"/>
                <w:color w:val="000000"/>
                <w:sz w:val="18"/>
                <w:szCs w:val="18"/>
                <w:highlight w:val="none"/>
              </w:rPr>
              <w:t>项目自评率＝自评项目数/项目总数×100%。按项目自评率得分（部门整体支出自评中列示项目的视为已自评）。</w:t>
            </w:r>
          </w:p>
        </w:tc>
        <w:tc>
          <w:tcPr>
            <w:tcW w:w="7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80E890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</w:tr>
      <w:tr w14:paraId="0D50D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F2D48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9AE01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 xml:space="preserve">资金评价覆盖率  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AC02E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 xml:space="preserve">资金评价覆盖率  </w:t>
            </w:r>
          </w:p>
        </w:tc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C1870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5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8C12A">
            <w:pPr>
              <w:rPr>
                <w:rFonts w:eastAsia="方正仿宋简体"/>
                <w:color w:val="000000"/>
                <w:sz w:val="18"/>
                <w:szCs w:val="18"/>
                <w:highlight w:val="none"/>
              </w:rPr>
            </w:pPr>
            <w:r>
              <w:rPr>
                <w:rFonts w:eastAsia="方正仿宋简体"/>
                <w:color w:val="000000"/>
                <w:sz w:val="18"/>
                <w:szCs w:val="18"/>
                <w:highlight w:val="none"/>
              </w:rPr>
              <w:t>部门绩效评价项目资金覆盖情况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46A5B">
            <w:pPr>
              <w:rPr>
                <w:rFonts w:eastAsia="方正仿宋简体"/>
                <w:color w:val="000000"/>
                <w:sz w:val="18"/>
                <w:szCs w:val="18"/>
                <w:highlight w:val="none"/>
              </w:rPr>
            </w:pPr>
            <w:r>
              <w:rPr>
                <w:rFonts w:eastAsia="方正仿宋简体"/>
                <w:color w:val="000000"/>
                <w:sz w:val="18"/>
                <w:szCs w:val="18"/>
                <w:highlight w:val="none"/>
              </w:rPr>
              <w:t>项目资金覆盖率=实施绩效评价项目资金额/部门项目预算资金总额×100%。绩效评价资金覆盖率100%得5分；每低于要求10个百分点扣1分，扣完为止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B008A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</w:tr>
      <w:tr w14:paraId="5E2CCE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53180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A2410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 xml:space="preserve">评价质量 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3730C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 xml:space="preserve">评价质量 </w:t>
            </w:r>
          </w:p>
        </w:tc>
        <w:tc>
          <w:tcPr>
            <w:tcW w:w="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5F227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5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7C545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部门绩效评价质量情况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99A44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根据评价工作开展情况、评价报告质量、资料收集情况等综合评分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7D636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</w:tr>
      <w:tr w14:paraId="52904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53E83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评价结果应用　　（15分）</w:t>
            </w:r>
          </w:p>
        </w:tc>
        <w:tc>
          <w:tcPr>
            <w:tcW w:w="7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0442F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绩效信息公开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F3BE7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绩效信息公开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90403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028D4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绩效信息公开情况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D60C5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按《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南江县县</w:t>
            </w:r>
            <w:r>
              <w:rPr>
                <w:rFonts w:eastAsia="方正仿宋简体"/>
                <w:color w:val="000000"/>
                <w:sz w:val="18"/>
                <w:szCs w:val="18"/>
              </w:rPr>
              <w:t>级预算绩效信息公开规程》规定公开绩效信息的得3分，未按规定公开相应扣分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FE584C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</w:tr>
      <w:tr w14:paraId="19F1D77D">
        <w:trPr>
          <w:trHeight w:val="72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C835D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1D2D8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绩效管理问题整改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EED27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绩效管理问题整改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A02D7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63C64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绩效管理问题整改情况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3BCA3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上年绩效评价发现的问题全面整改到位的得3分，没有全面整改到位的按比例得分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D8EB4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</w:tr>
      <w:tr w14:paraId="3089F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AF6E1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28455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其他监督检查问题整改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8BDFA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其他监督检查问题整改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0BF18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DDDB5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其他监督检查问题整改情况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417FF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各级巡视巡察、纪检监察、审计、财政监督检查等发现问题全面整改到位的得3分，没有全面整改到位的按比例得分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FC15CC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</w:tr>
      <w:tr w14:paraId="26442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EBDDE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5C538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监督管理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0FBB5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绩效问责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ED903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FBD55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按规定实施绩效问责情况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67C48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按规定实施绩效问责得3分，未按规定实施绩效问责相应扣分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BB0E4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</w:tr>
      <w:tr w14:paraId="22D8D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F0691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2963B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项目及资金调整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F3629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项目及资金调整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88795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7C269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根据绩效评价结果调整下年项目及金额情况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08E77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根据上年度绩效评价结果调整下年度项目及金额的得3分，未按规定调整的相应扣分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3DC5F">
            <w:pP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</w:tr>
      <w:tr w14:paraId="148C0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6824B">
            <w:pPr>
              <w:jc w:val="center"/>
              <w:rPr>
                <w:rFonts w:eastAsia="方正仿宋简体"/>
                <w:color w:val="000000"/>
                <w:sz w:val="15"/>
                <w:szCs w:val="15"/>
              </w:rPr>
            </w:pPr>
            <w:r>
              <w:rPr>
                <w:rFonts w:eastAsia="方正仿宋简体"/>
                <w:color w:val="000000"/>
                <w:sz w:val="15"/>
                <w:szCs w:val="15"/>
              </w:rPr>
              <w:t>项目支出绩效管理（30分）</w:t>
            </w:r>
          </w:p>
        </w:tc>
        <w:tc>
          <w:tcPr>
            <w:tcW w:w="7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91374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项目支出绩效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C12F2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部门实施项目支出评价情况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6C282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6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31A6F">
            <w:pPr>
              <w:rPr>
                <w:rFonts w:eastAsia="方正仿宋简体"/>
                <w:color w:val="000000"/>
                <w:sz w:val="18"/>
                <w:szCs w:val="18"/>
                <w:highlight w:val="none"/>
              </w:rPr>
            </w:pPr>
            <w:r>
              <w:rPr>
                <w:rFonts w:eastAsia="方正仿宋简体"/>
                <w:color w:val="000000"/>
                <w:sz w:val="18"/>
                <w:szCs w:val="18"/>
                <w:highlight w:val="none"/>
              </w:rPr>
              <w:t>按百分制形成的项目支出绩效评价分数换算成此项指标得分。有两个及以上专项预算项目的，以平均分作为得分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8E2249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29</w:t>
            </w:r>
          </w:p>
        </w:tc>
      </w:tr>
      <w:bookmarkEnd w:id="0"/>
      <w:tr w14:paraId="7DD9A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73706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绩效管理创新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eastAsia="方正仿宋简体"/>
                <w:color w:val="000000"/>
                <w:sz w:val="18"/>
                <w:szCs w:val="18"/>
              </w:rPr>
              <w:t>+5分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6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33F80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管理制度创新　　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C8472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C0A01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在绩效管理制度有创新</w:t>
            </w:r>
          </w:p>
        </w:tc>
        <w:tc>
          <w:tcPr>
            <w:tcW w:w="2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C193D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在绩效管理制度有创新或者发表相关研究文章的相应得分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FD13DA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</w:p>
        </w:tc>
      </w:tr>
      <w:tr w14:paraId="0D4ED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4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4AD1F">
            <w:pPr>
              <w:rPr>
                <w:rFonts w:eastAsia="方正仿宋简体"/>
                <w:color w:val="000000"/>
                <w:sz w:val="18"/>
                <w:szCs w:val="18"/>
              </w:rPr>
            </w:pPr>
          </w:p>
        </w:tc>
        <w:tc>
          <w:tcPr>
            <w:tcW w:w="16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2237D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工作推进创新　　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DF033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46F24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在工作推进中有创新</w:t>
            </w:r>
          </w:p>
        </w:tc>
        <w:tc>
          <w:tcPr>
            <w:tcW w:w="2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D9E2D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在推进自我评价、配合重点评价、完善个性指标体系方面的创新的相应得分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DAFEE3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</w:p>
        </w:tc>
      </w:tr>
      <w:tr w14:paraId="6DD4C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7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AC02D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监督发现问题 (-5分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6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0A27D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违规问题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47029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-5</w:t>
            </w:r>
          </w:p>
        </w:tc>
        <w:tc>
          <w:tcPr>
            <w:tcW w:w="33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E7ADE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部门或个人存在违反财政监督管理等情况</w:t>
            </w:r>
          </w:p>
        </w:tc>
        <w:tc>
          <w:tcPr>
            <w:tcW w:w="2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EB1AE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各级巡视巡察、纪检监察、审计、财政监督检查等发现财政管理问题的，每发现一类问题扣1分（多个部门发现的同类问题不重复扣分），涉及金额或社会影响较大的扣2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eastAsia="zh-CN"/>
              </w:rPr>
              <w:t>—</w:t>
            </w:r>
            <w:r>
              <w:rPr>
                <w:rFonts w:eastAsia="方正仿宋简体"/>
                <w:color w:val="000000"/>
                <w:sz w:val="18"/>
                <w:szCs w:val="18"/>
              </w:rPr>
              <w:t>5分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8979D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</w:p>
        </w:tc>
      </w:tr>
      <w:tr w14:paraId="5785BA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74578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扣分项（-5分）</w:t>
            </w:r>
          </w:p>
        </w:tc>
        <w:tc>
          <w:tcPr>
            <w:tcW w:w="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5F34A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-5</w:t>
            </w:r>
          </w:p>
        </w:tc>
        <w:tc>
          <w:tcPr>
            <w:tcW w:w="33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FC6EC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被评价单位配合评价工作情况</w:t>
            </w:r>
          </w:p>
        </w:tc>
        <w:tc>
          <w:tcPr>
            <w:tcW w:w="23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7F2C1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财政重点评价过程中，发现评价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eastAsia="zh-CN"/>
              </w:rPr>
              <w:t>对象</w:t>
            </w:r>
            <w:r>
              <w:rPr>
                <w:rFonts w:eastAsia="方正仿宋简体"/>
                <w:color w:val="000000"/>
                <w:sz w:val="18"/>
                <w:szCs w:val="18"/>
              </w:rPr>
              <w:t>拖延推诿、提交资料不及时等不配合评价工作的，经报</w:t>
            </w:r>
            <w:r>
              <w:rPr>
                <w:rFonts w:hint="eastAsia" w:eastAsia="方正仿宋简体"/>
                <w:color w:val="000000"/>
                <w:sz w:val="18"/>
                <w:szCs w:val="18"/>
                <w:lang w:val="en-US" w:eastAsia="zh-CN"/>
              </w:rPr>
              <w:t>县</w:t>
            </w:r>
            <w:r>
              <w:rPr>
                <w:rFonts w:eastAsia="方正仿宋简体"/>
                <w:color w:val="000000"/>
                <w:sz w:val="18"/>
                <w:szCs w:val="18"/>
              </w:rPr>
              <w:t>财政局确认后每次扣1分，最高扣5分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5449B7">
            <w:pPr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　</w:t>
            </w:r>
          </w:p>
        </w:tc>
      </w:tr>
      <w:tr w14:paraId="44C5E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D4FC1">
            <w:pPr>
              <w:jc w:val="center"/>
              <w:rPr>
                <w:rFonts w:eastAsia="方正仿宋简体"/>
                <w:color w:val="000000"/>
                <w:sz w:val="18"/>
                <w:szCs w:val="18"/>
              </w:rPr>
            </w:pPr>
            <w:r>
              <w:rPr>
                <w:rFonts w:eastAsia="方正仿宋简体"/>
                <w:color w:val="000000"/>
                <w:sz w:val="18"/>
                <w:szCs w:val="18"/>
              </w:rPr>
              <w:t>评价结论</w:t>
            </w:r>
          </w:p>
        </w:tc>
        <w:tc>
          <w:tcPr>
            <w:tcW w:w="777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4929C">
            <w:pPr>
              <w:jc w:val="center"/>
              <w:rPr>
                <w:rFonts w:eastAsia="方正仿宋简体"/>
                <w:color w:val="000000"/>
                <w:sz w:val="15"/>
                <w:szCs w:val="15"/>
              </w:rPr>
            </w:pPr>
            <w:r>
              <w:rPr>
                <w:rFonts w:eastAsia="方正仿宋简体"/>
                <w:color w:val="000000"/>
                <w:sz w:val="15"/>
                <w:szCs w:val="15"/>
              </w:rPr>
              <w:t>总评分（</w:t>
            </w:r>
            <w:r>
              <w:rPr>
                <w:rFonts w:hint="eastAsia" w:eastAsia="方正仿宋简体"/>
                <w:color w:val="000000"/>
                <w:sz w:val="15"/>
                <w:szCs w:val="15"/>
                <w:lang w:eastAsia="zh-CN"/>
              </w:rPr>
              <w:t>X</w:t>
            </w:r>
            <w:r>
              <w:rPr>
                <w:rFonts w:eastAsia="方正仿宋简体"/>
                <w:color w:val="000000"/>
                <w:sz w:val="15"/>
                <w:szCs w:val="15"/>
              </w:rPr>
              <w:t>）　优秀（</w:t>
            </w:r>
            <w:r>
              <w:rPr>
                <w:rFonts w:hint="eastAsia" w:eastAsia="方正仿宋简体"/>
                <w:color w:val="000000"/>
                <w:sz w:val="15"/>
                <w:szCs w:val="15"/>
                <w:lang w:eastAsia="zh-CN"/>
              </w:rPr>
              <w:t>X</w:t>
            </w:r>
            <w:r>
              <w:rPr>
                <w:rFonts w:eastAsia="方正仿宋简体"/>
                <w:color w:val="000000"/>
                <w:sz w:val="15"/>
                <w:szCs w:val="15"/>
              </w:rPr>
              <w:t>≥90分</w:t>
            </w:r>
            <w:r>
              <w:rPr>
                <w:rFonts w:hint="eastAsia" w:eastAsia="方正仿宋简体"/>
                <w:color w:val="000000"/>
                <w:sz w:val="15"/>
                <w:szCs w:val="15"/>
                <w:lang w:eastAsia="zh-CN"/>
              </w:rPr>
              <w:t>）</w:t>
            </w:r>
            <w:r>
              <w:rPr>
                <w:rFonts w:eastAsia="方正仿宋简体"/>
                <w:color w:val="000000"/>
                <w:sz w:val="15"/>
                <w:szCs w:val="15"/>
              </w:rPr>
              <w:t>　良好（90＞</w:t>
            </w:r>
            <w:r>
              <w:rPr>
                <w:rFonts w:hint="eastAsia" w:eastAsia="方正仿宋简体"/>
                <w:color w:val="000000"/>
                <w:sz w:val="15"/>
                <w:szCs w:val="15"/>
                <w:lang w:eastAsia="zh-CN"/>
              </w:rPr>
              <w:t>X</w:t>
            </w:r>
            <w:r>
              <w:rPr>
                <w:rFonts w:eastAsia="方正仿宋简体"/>
                <w:color w:val="000000"/>
                <w:sz w:val="15"/>
                <w:szCs w:val="15"/>
              </w:rPr>
              <w:t>≥75分）合格（75分＞</w:t>
            </w:r>
            <w:r>
              <w:rPr>
                <w:rFonts w:hint="eastAsia" w:eastAsia="方正仿宋简体"/>
                <w:color w:val="000000"/>
                <w:sz w:val="15"/>
                <w:szCs w:val="15"/>
                <w:lang w:eastAsia="zh-CN"/>
              </w:rPr>
              <w:t>X</w:t>
            </w:r>
            <w:r>
              <w:rPr>
                <w:rFonts w:eastAsia="方正仿宋简体"/>
                <w:color w:val="000000"/>
                <w:sz w:val="15"/>
                <w:szCs w:val="15"/>
              </w:rPr>
              <w:t>≥60分）　不合格（</w:t>
            </w:r>
            <w:r>
              <w:rPr>
                <w:rFonts w:hint="eastAsia" w:eastAsia="方正仿宋简体"/>
                <w:color w:val="000000"/>
                <w:sz w:val="15"/>
                <w:szCs w:val="15"/>
                <w:lang w:eastAsia="zh-CN"/>
              </w:rPr>
              <w:t>X</w:t>
            </w:r>
            <w:r>
              <w:rPr>
                <w:rFonts w:eastAsia="方正仿宋简体"/>
                <w:color w:val="000000"/>
                <w:sz w:val="15"/>
                <w:szCs w:val="15"/>
              </w:rPr>
              <w:t>＜60）分）</w:t>
            </w:r>
          </w:p>
        </w:tc>
      </w:tr>
    </w:tbl>
    <w:p w14:paraId="3A32E9EC">
      <w:pPr>
        <w:widowControl/>
        <w:jc w:val="left"/>
        <w:rPr>
          <w:rFonts w:hint="default" w:eastAsia="方正仿宋_GBK"/>
          <w:sz w:val="32"/>
          <w:szCs w:val="32"/>
          <w:lang w:val="en-US" w:eastAsia="zh-CN"/>
        </w:rPr>
      </w:pPr>
    </w:p>
    <w:sectPr>
      <w:footerReference r:id="rId6" w:type="first"/>
      <w:headerReference r:id="rId3" w:type="default"/>
      <w:footerReference r:id="rId4" w:type="default"/>
      <w:footerReference r:id="rId5" w:type="even"/>
      <w:pgSz w:w="11904" w:h="16834"/>
      <w:pgMar w:top="1984" w:right="1474" w:bottom="1814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D68FE">
    <w:pPr>
      <w:pStyle w:val="3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27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  <w:p w14:paraId="43685483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87E7C">
    <w:pPr>
      <w:pStyle w:val="3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28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  <w:p w14:paraId="46871DB8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9A71E7">
    <w:pPr>
      <w:pStyle w:val="3"/>
      <w:ind w:firstLine="7840" w:firstLineChars="28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28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  <w:p w14:paraId="5017B03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42106A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jMDQ3OGVkNDc3OWFiZjI1ZGZjNjBiZDY2NjEzYTgifQ=="/>
  </w:docVars>
  <w:rsids>
    <w:rsidRoot w:val="00AA2786"/>
    <w:rsid w:val="000011A8"/>
    <w:rsid w:val="00002F8C"/>
    <w:rsid w:val="0000304E"/>
    <w:rsid w:val="00003323"/>
    <w:rsid w:val="00004F52"/>
    <w:rsid w:val="000134F4"/>
    <w:rsid w:val="00013C9D"/>
    <w:rsid w:val="00023151"/>
    <w:rsid w:val="000309AC"/>
    <w:rsid w:val="00031291"/>
    <w:rsid w:val="00032EA3"/>
    <w:rsid w:val="00040AA9"/>
    <w:rsid w:val="000518FC"/>
    <w:rsid w:val="000534AD"/>
    <w:rsid w:val="000549F0"/>
    <w:rsid w:val="0005657B"/>
    <w:rsid w:val="00064CA1"/>
    <w:rsid w:val="000702DB"/>
    <w:rsid w:val="000765B6"/>
    <w:rsid w:val="00081276"/>
    <w:rsid w:val="000817BD"/>
    <w:rsid w:val="00082BBA"/>
    <w:rsid w:val="0009088A"/>
    <w:rsid w:val="000A3AAE"/>
    <w:rsid w:val="000A3CCA"/>
    <w:rsid w:val="000A46C1"/>
    <w:rsid w:val="000B2476"/>
    <w:rsid w:val="000B58A2"/>
    <w:rsid w:val="000B764D"/>
    <w:rsid w:val="000C0CA5"/>
    <w:rsid w:val="000C5B9B"/>
    <w:rsid w:val="000D1AD4"/>
    <w:rsid w:val="000D4BEB"/>
    <w:rsid w:val="000D6BE2"/>
    <w:rsid w:val="000E4615"/>
    <w:rsid w:val="000F3A0D"/>
    <w:rsid w:val="000F7F39"/>
    <w:rsid w:val="00102E22"/>
    <w:rsid w:val="001038AA"/>
    <w:rsid w:val="0010588F"/>
    <w:rsid w:val="00110A03"/>
    <w:rsid w:val="00113B42"/>
    <w:rsid w:val="00114854"/>
    <w:rsid w:val="00116DDD"/>
    <w:rsid w:val="00122D1A"/>
    <w:rsid w:val="00123A57"/>
    <w:rsid w:val="00130CBD"/>
    <w:rsid w:val="00141E35"/>
    <w:rsid w:val="00142A67"/>
    <w:rsid w:val="00143543"/>
    <w:rsid w:val="0014699A"/>
    <w:rsid w:val="00146B4C"/>
    <w:rsid w:val="0015359E"/>
    <w:rsid w:val="00154AF6"/>
    <w:rsid w:val="001554B7"/>
    <w:rsid w:val="00156840"/>
    <w:rsid w:val="0016457C"/>
    <w:rsid w:val="0017376E"/>
    <w:rsid w:val="0017414A"/>
    <w:rsid w:val="00176E5A"/>
    <w:rsid w:val="001835D0"/>
    <w:rsid w:val="00183638"/>
    <w:rsid w:val="00184CB1"/>
    <w:rsid w:val="00186D93"/>
    <w:rsid w:val="0018780F"/>
    <w:rsid w:val="001A4E3F"/>
    <w:rsid w:val="001A52EB"/>
    <w:rsid w:val="001B78CE"/>
    <w:rsid w:val="001C40FA"/>
    <w:rsid w:val="001D1607"/>
    <w:rsid w:val="001E109C"/>
    <w:rsid w:val="001E3FB8"/>
    <w:rsid w:val="001F21E9"/>
    <w:rsid w:val="001F2B7D"/>
    <w:rsid w:val="001F4D75"/>
    <w:rsid w:val="001F7CEF"/>
    <w:rsid w:val="00200AEA"/>
    <w:rsid w:val="002012DE"/>
    <w:rsid w:val="00204A35"/>
    <w:rsid w:val="002050CA"/>
    <w:rsid w:val="002060AB"/>
    <w:rsid w:val="002113B3"/>
    <w:rsid w:val="00213B09"/>
    <w:rsid w:val="002161F4"/>
    <w:rsid w:val="00216EA0"/>
    <w:rsid w:val="00217BFD"/>
    <w:rsid w:val="00220979"/>
    <w:rsid w:val="00224691"/>
    <w:rsid w:val="0022724D"/>
    <w:rsid w:val="00230755"/>
    <w:rsid w:val="002317AE"/>
    <w:rsid w:val="002324D8"/>
    <w:rsid w:val="00236B58"/>
    <w:rsid w:val="00237F9F"/>
    <w:rsid w:val="0024572E"/>
    <w:rsid w:val="002500BF"/>
    <w:rsid w:val="00251DAB"/>
    <w:rsid w:val="002520F4"/>
    <w:rsid w:val="00253924"/>
    <w:rsid w:val="00260F41"/>
    <w:rsid w:val="0026481C"/>
    <w:rsid w:val="002660F9"/>
    <w:rsid w:val="0028733D"/>
    <w:rsid w:val="00291F11"/>
    <w:rsid w:val="002A0DAF"/>
    <w:rsid w:val="002A3A51"/>
    <w:rsid w:val="002A7FEF"/>
    <w:rsid w:val="002B763D"/>
    <w:rsid w:val="002C5B85"/>
    <w:rsid w:val="002C7277"/>
    <w:rsid w:val="002D00E0"/>
    <w:rsid w:val="002D2D30"/>
    <w:rsid w:val="002D4F28"/>
    <w:rsid w:val="002E05B7"/>
    <w:rsid w:val="002E3551"/>
    <w:rsid w:val="002E3D63"/>
    <w:rsid w:val="002E49D5"/>
    <w:rsid w:val="002F19EB"/>
    <w:rsid w:val="002F219E"/>
    <w:rsid w:val="002F317A"/>
    <w:rsid w:val="002F340A"/>
    <w:rsid w:val="002F6BCE"/>
    <w:rsid w:val="003009D0"/>
    <w:rsid w:val="003036B5"/>
    <w:rsid w:val="00305D70"/>
    <w:rsid w:val="003119F6"/>
    <w:rsid w:val="00321252"/>
    <w:rsid w:val="00322874"/>
    <w:rsid w:val="003231B5"/>
    <w:rsid w:val="003243F4"/>
    <w:rsid w:val="00333E09"/>
    <w:rsid w:val="00344D8F"/>
    <w:rsid w:val="00352023"/>
    <w:rsid w:val="003557BF"/>
    <w:rsid w:val="003574F1"/>
    <w:rsid w:val="00357DEF"/>
    <w:rsid w:val="00361ECF"/>
    <w:rsid w:val="003659A9"/>
    <w:rsid w:val="00373101"/>
    <w:rsid w:val="003753FD"/>
    <w:rsid w:val="0038344C"/>
    <w:rsid w:val="003836DD"/>
    <w:rsid w:val="00387477"/>
    <w:rsid w:val="00391207"/>
    <w:rsid w:val="00394121"/>
    <w:rsid w:val="00394F43"/>
    <w:rsid w:val="00395202"/>
    <w:rsid w:val="00397812"/>
    <w:rsid w:val="003A04B4"/>
    <w:rsid w:val="003A4D07"/>
    <w:rsid w:val="003B2917"/>
    <w:rsid w:val="003B4A8F"/>
    <w:rsid w:val="003C05D3"/>
    <w:rsid w:val="003D3B84"/>
    <w:rsid w:val="003D7416"/>
    <w:rsid w:val="003E0968"/>
    <w:rsid w:val="003F3923"/>
    <w:rsid w:val="003F7E81"/>
    <w:rsid w:val="00403045"/>
    <w:rsid w:val="00404548"/>
    <w:rsid w:val="00406819"/>
    <w:rsid w:val="004069DA"/>
    <w:rsid w:val="004076E8"/>
    <w:rsid w:val="00410D1D"/>
    <w:rsid w:val="004139CA"/>
    <w:rsid w:val="00415262"/>
    <w:rsid w:val="00420A6A"/>
    <w:rsid w:val="00424587"/>
    <w:rsid w:val="00424CFF"/>
    <w:rsid w:val="0044241A"/>
    <w:rsid w:val="004444AE"/>
    <w:rsid w:val="00453284"/>
    <w:rsid w:val="00455225"/>
    <w:rsid w:val="00455E18"/>
    <w:rsid w:val="00457C5B"/>
    <w:rsid w:val="00472A88"/>
    <w:rsid w:val="0048416C"/>
    <w:rsid w:val="004852F5"/>
    <w:rsid w:val="0049161D"/>
    <w:rsid w:val="004A0180"/>
    <w:rsid w:val="004A3613"/>
    <w:rsid w:val="004A7759"/>
    <w:rsid w:val="004B1CFE"/>
    <w:rsid w:val="004C1C60"/>
    <w:rsid w:val="004C2B4B"/>
    <w:rsid w:val="004C5B85"/>
    <w:rsid w:val="004D0892"/>
    <w:rsid w:val="004D697E"/>
    <w:rsid w:val="004E3F11"/>
    <w:rsid w:val="004E6FFD"/>
    <w:rsid w:val="004E7E09"/>
    <w:rsid w:val="004F07FA"/>
    <w:rsid w:val="004F1B83"/>
    <w:rsid w:val="0050685F"/>
    <w:rsid w:val="0051023E"/>
    <w:rsid w:val="00512288"/>
    <w:rsid w:val="00513DB2"/>
    <w:rsid w:val="00524157"/>
    <w:rsid w:val="005270E0"/>
    <w:rsid w:val="0053233C"/>
    <w:rsid w:val="0053358D"/>
    <w:rsid w:val="005374C5"/>
    <w:rsid w:val="00543F2C"/>
    <w:rsid w:val="0054444A"/>
    <w:rsid w:val="00546B2C"/>
    <w:rsid w:val="00555CA9"/>
    <w:rsid w:val="005608A3"/>
    <w:rsid w:val="00561515"/>
    <w:rsid w:val="00562DC9"/>
    <w:rsid w:val="00564127"/>
    <w:rsid w:val="00565632"/>
    <w:rsid w:val="00567F77"/>
    <w:rsid w:val="00570165"/>
    <w:rsid w:val="005737AB"/>
    <w:rsid w:val="0057543A"/>
    <w:rsid w:val="005818B0"/>
    <w:rsid w:val="00583336"/>
    <w:rsid w:val="00584463"/>
    <w:rsid w:val="00586770"/>
    <w:rsid w:val="00593770"/>
    <w:rsid w:val="00593923"/>
    <w:rsid w:val="005947C1"/>
    <w:rsid w:val="00594CE1"/>
    <w:rsid w:val="00595C3A"/>
    <w:rsid w:val="005B18A1"/>
    <w:rsid w:val="005B1DD0"/>
    <w:rsid w:val="005B256D"/>
    <w:rsid w:val="005C17DA"/>
    <w:rsid w:val="005C2AA0"/>
    <w:rsid w:val="005C2F61"/>
    <w:rsid w:val="005C3770"/>
    <w:rsid w:val="005C5192"/>
    <w:rsid w:val="005C66AE"/>
    <w:rsid w:val="005D1E44"/>
    <w:rsid w:val="005E20E9"/>
    <w:rsid w:val="005E448A"/>
    <w:rsid w:val="005E48BC"/>
    <w:rsid w:val="005F008F"/>
    <w:rsid w:val="005F0B9D"/>
    <w:rsid w:val="005F5C38"/>
    <w:rsid w:val="005F7525"/>
    <w:rsid w:val="0060113A"/>
    <w:rsid w:val="00601AE1"/>
    <w:rsid w:val="00603DC1"/>
    <w:rsid w:val="00607A42"/>
    <w:rsid w:val="00613453"/>
    <w:rsid w:val="006142B3"/>
    <w:rsid w:val="00616625"/>
    <w:rsid w:val="006236C8"/>
    <w:rsid w:val="006239AC"/>
    <w:rsid w:val="00633C95"/>
    <w:rsid w:val="00643062"/>
    <w:rsid w:val="00652013"/>
    <w:rsid w:val="00652AC5"/>
    <w:rsid w:val="006659F6"/>
    <w:rsid w:val="00667025"/>
    <w:rsid w:val="00667185"/>
    <w:rsid w:val="00667374"/>
    <w:rsid w:val="006743D1"/>
    <w:rsid w:val="0068243B"/>
    <w:rsid w:val="00685895"/>
    <w:rsid w:val="006918CF"/>
    <w:rsid w:val="00693F02"/>
    <w:rsid w:val="006A0FE9"/>
    <w:rsid w:val="006A1055"/>
    <w:rsid w:val="006A3097"/>
    <w:rsid w:val="006A42A4"/>
    <w:rsid w:val="006B1082"/>
    <w:rsid w:val="006B1552"/>
    <w:rsid w:val="006B32C0"/>
    <w:rsid w:val="006B3620"/>
    <w:rsid w:val="006B644F"/>
    <w:rsid w:val="006C05F2"/>
    <w:rsid w:val="006C2A54"/>
    <w:rsid w:val="006C50A4"/>
    <w:rsid w:val="006C5DC0"/>
    <w:rsid w:val="006D0F5C"/>
    <w:rsid w:val="006E30B6"/>
    <w:rsid w:val="006F2DBF"/>
    <w:rsid w:val="006F4FDC"/>
    <w:rsid w:val="007030BD"/>
    <w:rsid w:val="00710BFB"/>
    <w:rsid w:val="00717D4B"/>
    <w:rsid w:val="0072348B"/>
    <w:rsid w:val="00727AF2"/>
    <w:rsid w:val="00730DD7"/>
    <w:rsid w:val="00732610"/>
    <w:rsid w:val="00737805"/>
    <w:rsid w:val="007405F5"/>
    <w:rsid w:val="00742751"/>
    <w:rsid w:val="00744EB0"/>
    <w:rsid w:val="0074537D"/>
    <w:rsid w:val="00755D0C"/>
    <w:rsid w:val="00757BAA"/>
    <w:rsid w:val="0076535D"/>
    <w:rsid w:val="00765463"/>
    <w:rsid w:val="00773AA4"/>
    <w:rsid w:val="007819D4"/>
    <w:rsid w:val="00783505"/>
    <w:rsid w:val="00787E7F"/>
    <w:rsid w:val="00791E34"/>
    <w:rsid w:val="007A0120"/>
    <w:rsid w:val="007A0FFD"/>
    <w:rsid w:val="007A1EC0"/>
    <w:rsid w:val="007A2B24"/>
    <w:rsid w:val="007A5041"/>
    <w:rsid w:val="007B2462"/>
    <w:rsid w:val="007B2AE0"/>
    <w:rsid w:val="007B3A44"/>
    <w:rsid w:val="007B3FD1"/>
    <w:rsid w:val="007B6F07"/>
    <w:rsid w:val="007C0B62"/>
    <w:rsid w:val="007C23A1"/>
    <w:rsid w:val="007C634A"/>
    <w:rsid w:val="007C76CA"/>
    <w:rsid w:val="007D0CEA"/>
    <w:rsid w:val="007D2599"/>
    <w:rsid w:val="007D625C"/>
    <w:rsid w:val="007E169F"/>
    <w:rsid w:val="007E1D9A"/>
    <w:rsid w:val="007E7FA4"/>
    <w:rsid w:val="007F3E45"/>
    <w:rsid w:val="007F5131"/>
    <w:rsid w:val="007F614B"/>
    <w:rsid w:val="00801B3D"/>
    <w:rsid w:val="00812034"/>
    <w:rsid w:val="00814C55"/>
    <w:rsid w:val="00820260"/>
    <w:rsid w:val="00820385"/>
    <w:rsid w:val="00821A99"/>
    <w:rsid w:val="00823D98"/>
    <w:rsid w:val="008267FE"/>
    <w:rsid w:val="0083139B"/>
    <w:rsid w:val="00845D30"/>
    <w:rsid w:val="0086075F"/>
    <w:rsid w:val="00862009"/>
    <w:rsid w:val="00863385"/>
    <w:rsid w:val="00863A51"/>
    <w:rsid w:val="00864B28"/>
    <w:rsid w:val="008671D0"/>
    <w:rsid w:val="008714E2"/>
    <w:rsid w:val="008753F7"/>
    <w:rsid w:val="008831DA"/>
    <w:rsid w:val="00884C5B"/>
    <w:rsid w:val="00885E0C"/>
    <w:rsid w:val="008932B0"/>
    <w:rsid w:val="00895B55"/>
    <w:rsid w:val="00896402"/>
    <w:rsid w:val="008A142B"/>
    <w:rsid w:val="008A490A"/>
    <w:rsid w:val="008A5990"/>
    <w:rsid w:val="008A63D9"/>
    <w:rsid w:val="008B03C4"/>
    <w:rsid w:val="008B4BC0"/>
    <w:rsid w:val="008C01B3"/>
    <w:rsid w:val="008C41E5"/>
    <w:rsid w:val="008C7E58"/>
    <w:rsid w:val="008D0854"/>
    <w:rsid w:val="008D2094"/>
    <w:rsid w:val="008D52A7"/>
    <w:rsid w:val="008E32C6"/>
    <w:rsid w:val="008F49FC"/>
    <w:rsid w:val="008F6994"/>
    <w:rsid w:val="008F7F33"/>
    <w:rsid w:val="00901EA7"/>
    <w:rsid w:val="00902580"/>
    <w:rsid w:val="009028AA"/>
    <w:rsid w:val="00910E28"/>
    <w:rsid w:val="00913637"/>
    <w:rsid w:val="009167E2"/>
    <w:rsid w:val="00917AC9"/>
    <w:rsid w:val="009227DA"/>
    <w:rsid w:val="00924BDF"/>
    <w:rsid w:val="009262EF"/>
    <w:rsid w:val="00932EC1"/>
    <w:rsid w:val="0093359D"/>
    <w:rsid w:val="009340EB"/>
    <w:rsid w:val="00934A57"/>
    <w:rsid w:val="00934C13"/>
    <w:rsid w:val="009371A5"/>
    <w:rsid w:val="0094045B"/>
    <w:rsid w:val="00940796"/>
    <w:rsid w:val="00940A8F"/>
    <w:rsid w:val="009432BD"/>
    <w:rsid w:val="00950A2B"/>
    <w:rsid w:val="009522D1"/>
    <w:rsid w:val="00952B86"/>
    <w:rsid w:val="00952F1D"/>
    <w:rsid w:val="009572DF"/>
    <w:rsid w:val="009605E8"/>
    <w:rsid w:val="009617F0"/>
    <w:rsid w:val="00967098"/>
    <w:rsid w:val="00975F44"/>
    <w:rsid w:val="009764B4"/>
    <w:rsid w:val="00987B26"/>
    <w:rsid w:val="00990627"/>
    <w:rsid w:val="00994EA9"/>
    <w:rsid w:val="009A7EE5"/>
    <w:rsid w:val="009B7F32"/>
    <w:rsid w:val="009D34C5"/>
    <w:rsid w:val="009D7DD5"/>
    <w:rsid w:val="009E0F9D"/>
    <w:rsid w:val="009E1075"/>
    <w:rsid w:val="009E33B7"/>
    <w:rsid w:val="009E54EB"/>
    <w:rsid w:val="009F2A31"/>
    <w:rsid w:val="009F4F9E"/>
    <w:rsid w:val="00A06C7E"/>
    <w:rsid w:val="00A073D0"/>
    <w:rsid w:val="00A17DD2"/>
    <w:rsid w:val="00A228B0"/>
    <w:rsid w:val="00A22F8F"/>
    <w:rsid w:val="00A24EFC"/>
    <w:rsid w:val="00A274B5"/>
    <w:rsid w:val="00A378FA"/>
    <w:rsid w:val="00A41209"/>
    <w:rsid w:val="00A444E2"/>
    <w:rsid w:val="00A44F9E"/>
    <w:rsid w:val="00A468E6"/>
    <w:rsid w:val="00A519D1"/>
    <w:rsid w:val="00A52044"/>
    <w:rsid w:val="00A53B13"/>
    <w:rsid w:val="00A55F3A"/>
    <w:rsid w:val="00A56F98"/>
    <w:rsid w:val="00A60420"/>
    <w:rsid w:val="00A61750"/>
    <w:rsid w:val="00A62F21"/>
    <w:rsid w:val="00A7039C"/>
    <w:rsid w:val="00A72176"/>
    <w:rsid w:val="00A7277E"/>
    <w:rsid w:val="00A73EBF"/>
    <w:rsid w:val="00A73F5E"/>
    <w:rsid w:val="00A7473C"/>
    <w:rsid w:val="00A80174"/>
    <w:rsid w:val="00A80DFB"/>
    <w:rsid w:val="00A8635F"/>
    <w:rsid w:val="00A94D49"/>
    <w:rsid w:val="00AA2786"/>
    <w:rsid w:val="00AA7716"/>
    <w:rsid w:val="00AB5B70"/>
    <w:rsid w:val="00AB7263"/>
    <w:rsid w:val="00AC0BCD"/>
    <w:rsid w:val="00AC3F01"/>
    <w:rsid w:val="00AC529A"/>
    <w:rsid w:val="00AC5EAC"/>
    <w:rsid w:val="00AD6D56"/>
    <w:rsid w:val="00AD7143"/>
    <w:rsid w:val="00AD7A31"/>
    <w:rsid w:val="00AE0FBF"/>
    <w:rsid w:val="00AE3283"/>
    <w:rsid w:val="00AE50AE"/>
    <w:rsid w:val="00AF29F2"/>
    <w:rsid w:val="00AF5E19"/>
    <w:rsid w:val="00AF6837"/>
    <w:rsid w:val="00B0156B"/>
    <w:rsid w:val="00B023F4"/>
    <w:rsid w:val="00B11C08"/>
    <w:rsid w:val="00B12DE4"/>
    <w:rsid w:val="00B14073"/>
    <w:rsid w:val="00B15E4E"/>
    <w:rsid w:val="00B20074"/>
    <w:rsid w:val="00B327A4"/>
    <w:rsid w:val="00B32A7D"/>
    <w:rsid w:val="00B41423"/>
    <w:rsid w:val="00B41642"/>
    <w:rsid w:val="00B42042"/>
    <w:rsid w:val="00B45280"/>
    <w:rsid w:val="00B57BB1"/>
    <w:rsid w:val="00B60BBB"/>
    <w:rsid w:val="00B67859"/>
    <w:rsid w:val="00B71A59"/>
    <w:rsid w:val="00B7324A"/>
    <w:rsid w:val="00B74D2F"/>
    <w:rsid w:val="00B757BE"/>
    <w:rsid w:val="00B7583C"/>
    <w:rsid w:val="00B75E6E"/>
    <w:rsid w:val="00B8168E"/>
    <w:rsid w:val="00B8278D"/>
    <w:rsid w:val="00B909AF"/>
    <w:rsid w:val="00B96057"/>
    <w:rsid w:val="00BA46FC"/>
    <w:rsid w:val="00BA6757"/>
    <w:rsid w:val="00BB1414"/>
    <w:rsid w:val="00BB15F4"/>
    <w:rsid w:val="00BB21AB"/>
    <w:rsid w:val="00BB3C24"/>
    <w:rsid w:val="00BB459C"/>
    <w:rsid w:val="00BC0685"/>
    <w:rsid w:val="00BD5E4A"/>
    <w:rsid w:val="00BE3156"/>
    <w:rsid w:val="00BE7484"/>
    <w:rsid w:val="00BF2543"/>
    <w:rsid w:val="00BF7E75"/>
    <w:rsid w:val="00C01556"/>
    <w:rsid w:val="00C05161"/>
    <w:rsid w:val="00C067B1"/>
    <w:rsid w:val="00C105CA"/>
    <w:rsid w:val="00C136D9"/>
    <w:rsid w:val="00C14054"/>
    <w:rsid w:val="00C15B53"/>
    <w:rsid w:val="00C21566"/>
    <w:rsid w:val="00C23BE4"/>
    <w:rsid w:val="00C25E00"/>
    <w:rsid w:val="00C27AA1"/>
    <w:rsid w:val="00C27E25"/>
    <w:rsid w:val="00C31D29"/>
    <w:rsid w:val="00C33661"/>
    <w:rsid w:val="00C35ED2"/>
    <w:rsid w:val="00C37F33"/>
    <w:rsid w:val="00C40298"/>
    <w:rsid w:val="00C44DEF"/>
    <w:rsid w:val="00C5172C"/>
    <w:rsid w:val="00C61376"/>
    <w:rsid w:val="00C62B15"/>
    <w:rsid w:val="00C72EBC"/>
    <w:rsid w:val="00C74AA7"/>
    <w:rsid w:val="00C838E2"/>
    <w:rsid w:val="00C92D0A"/>
    <w:rsid w:val="00CA5851"/>
    <w:rsid w:val="00CB250A"/>
    <w:rsid w:val="00CB4FF6"/>
    <w:rsid w:val="00CB611D"/>
    <w:rsid w:val="00CC49DD"/>
    <w:rsid w:val="00CC5894"/>
    <w:rsid w:val="00CC5F11"/>
    <w:rsid w:val="00CC6A73"/>
    <w:rsid w:val="00CD07A1"/>
    <w:rsid w:val="00CD20A3"/>
    <w:rsid w:val="00CD3520"/>
    <w:rsid w:val="00CD4499"/>
    <w:rsid w:val="00CD45B7"/>
    <w:rsid w:val="00CD5A5E"/>
    <w:rsid w:val="00CD6C57"/>
    <w:rsid w:val="00CD7853"/>
    <w:rsid w:val="00CE099B"/>
    <w:rsid w:val="00CE198C"/>
    <w:rsid w:val="00CE48B4"/>
    <w:rsid w:val="00CE6E3B"/>
    <w:rsid w:val="00CF05CC"/>
    <w:rsid w:val="00D007D9"/>
    <w:rsid w:val="00D02307"/>
    <w:rsid w:val="00D04B6B"/>
    <w:rsid w:val="00D06622"/>
    <w:rsid w:val="00D2019D"/>
    <w:rsid w:val="00D3115B"/>
    <w:rsid w:val="00D34E10"/>
    <w:rsid w:val="00D373CC"/>
    <w:rsid w:val="00D37A5D"/>
    <w:rsid w:val="00D37A6A"/>
    <w:rsid w:val="00D43685"/>
    <w:rsid w:val="00D44360"/>
    <w:rsid w:val="00D57BE3"/>
    <w:rsid w:val="00D6101B"/>
    <w:rsid w:val="00D81EFB"/>
    <w:rsid w:val="00D913D7"/>
    <w:rsid w:val="00D924C3"/>
    <w:rsid w:val="00D95760"/>
    <w:rsid w:val="00D95FE5"/>
    <w:rsid w:val="00DA07FA"/>
    <w:rsid w:val="00DB3B62"/>
    <w:rsid w:val="00DB3C06"/>
    <w:rsid w:val="00DB4248"/>
    <w:rsid w:val="00DB5433"/>
    <w:rsid w:val="00DC09FE"/>
    <w:rsid w:val="00DC526B"/>
    <w:rsid w:val="00DD06B3"/>
    <w:rsid w:val="00DD4994"/>
    <w:rsid w:val="00DE2E04"/>
    <w:rsid w:val="00DE4F8E"/>
    <w:rsid w:val="00DF102B"/>
    <w:rsid w:val="00DF1109"/>
    <w:rsid w:val="00DF2BA6"/>
    <w:rsid w:val="00E00E08"/>
    <w:rsid w:val="00E011ED"/>
    <w:rsid w:val="00E05E09"/>
    <w:rsid w:val="00E062E7"/>
    <w:rsid w:val="00E116B4"/>
    <w:rsid w:val="00E12520"/>
    <w:rsid w:val="00E23FF1"/>
    <w:rsid w:val="00E25830"/>
    <w:rsid w:val="00E305D3"/>
    <w:rsid w:val="00E32753"/>
    <w:rsid w:val="00E37613"/>
    <w:rsid w:val="00E37C8E"/>
    <w:rsid w:val="00E4040E"/>
    <w:rsid w:val="00E412C9"/>
    <w:rsid w:val="00E41722"/>
    <w:rsid w:val="00E42038"/>
    <w:rsid w:val="00E42537"/>
    <w:rsid w:val="00E56246"/>
    <w:rsid w:val="00E62127"/>
    <w:rsid w:val="00E624E9"/>
    <w:rsid w:val="00E8316E"/>
    <w:rsid w:val="00E839C3"/>
    <w:rsid w:val="00E85871"/>
    <w:rsid w:val="00E85880"/>
    <w:rsid w:val="00E87019"/>
    <w:rsid w:val="00E9175A"/>
    <w:rsid w:val="00E95F8C"/>
    <w:rsid w:val="00EA48F3"/>
    <w:rsid w:val="00EA5281"/>
    <w:rsid w:val="00EA7373"/>
    <w:rsid w:val="00EB522F"/>
    <w:rsid w:val="00EB6E5F"/>
    <w:rsid w:val="00EC030B"/>
    <w:rsid w:val="00EC58A7"/>
    <w:rsid w:val="00EC7BC3"/>
    <w:rsid w:val="00ED06C7"/>
    <w:rsid w:val="00ED39D3"/>
    <w:rsid w:val="00ED5405"/>
    <w:rsid w:val="00ED6DF7"/>
    <w:rsid w:val="00EE2124"/>
    <w:rsid w:val="00EE2FB0"/>
    <w:rsid w:val="00EE5693"/>
    <w:rsid w:val="00EE70DE"/>
    <w:rsid w:val="00EF263D"/>
    <w:rsid w:val="00EF2895"/>
    <w:rsid w:val="00EF2FA3"/>
    <w:rsid w:val="00EF5552"/>
    <w:rsid w:val="00EF747C"/>
    <w:rsid w:val="00F0337C"/>
    <w:rsid w:val="00F075A8"/>
    <w:rsid w:val="00F10AE5"/>
    <w:rsid w:val="00F1428D"/>
    <w:rsid w:val="00F143CB"/>
    <w:rsid w:val="00F15394"/>
    <w:rsid w:val="00F2108A"/>
    <w:rsid w:val="00F22CC5"/>
    <w:rsid w:val="00F24029"/>
    <w:rsid w:val="00F3138C"/>
    <w:rsid w:val="00F423E2"/>
    <w:rsid w:val="00F43230"/>
    <w:rsid w:val="00F45033"/>
    <w:rsid w:val="00F5243A"/>
    <w:rsid w:val="00F6112A"/>
    <w:rsid w:val="00F64C0C"/>
    <w:rsid w:val="00F650A8"/>
    <w:rsid w:val="00F66197"/>
    <w:rsid w:val="00F71CE0"/>
    <w:rsid w:val="00F73B62"/>
    <w:rsid w:val="00F816F7"/>
    <w:rsid w:val="00F82434"/>
    <w:rsid w:val="00F82628"/>
    <w:rsid w:val="00F8634C"/>
    <w:rsid w:val="00F8778E"/>
    <w:rsid w:val="00F9502F"/>
    <w:rsid w:val="00FA4A45"/>
    <w:rsid w:val="00FA4AE3"/>
    <w:rsid w:val="00FA5471"/>
    <w:rsid w:val="00FB7A51"/>
    <w:rsid w:val="00FB7CCC"/>
    <w:rsid w:val="00FC2F60"/>
    <w:rsid w:val="00FC7E60"/>
    <w:rsid w:val="00FD174D"/>
    <w:rsid w:val="00FD3F3A"/>
    <w:rsid w:val="00FD510C"/>
    <w:rsid w:val="00FD6149"/>
    <w:rsid w:val="00FE283E"/>
    <w:rsid w:val="00FE3295"/>
    <w:rsid w:val="00FE33F6"/>
    <w:rsid w:val="00FE7E76"/>
    <w:rsid w:val="00FF166F"/>
    <w:rsid w:val="00FF1D25"/>
    <w:rsid w:val="00FF3505"/>
    <w:rsid w:val="00FF68D5"/>
    <w:rsid w:val="051B01A1"/>
    <w:rsid w:val="070E13E8"/>
    <w:rsid w:val="0C841723"/>
    <w:rsid w:val="0F653661"/>
    <w:rsid w:val="10565145"/>
    <w:rsid w:val="142A18A2"/>
    <w:rsid w:val="167DBB18"/>
    <w:rsid w:val="1688400E"/>
    <w:rsid w:val="17501BF9"/>
    <w:rsid w:val="21E52EA7"/>
    <w:rsid w:val="22CD3134"/>
    <w:rsid w:val="2A4B78E1"/>
    <w:rsid w:val="2BFC50CC"/>
    <w:rsid w:val="2E00716F"/>
    <w:rsid w:val="2FBFEB39"/>
    <w:rsid w:val="30565D93"/>
    <w:rsid w:val="314237F1"/>
    <w:rsid w:val="328F19DD"/>
    <w:rsid w:val="3423789C"/>
    <w:rsid w:val="356A4FCD"/>
    <w:rsid w:val="356BB6AB"/>
    <w:rsid w:val="36296B51"/>
    <w:rsid w:val="39312B35"/>
    <w:rsid w:val="3D3A0480"/>
    <w:rsid w:val="3D4978FC"/>
    <w:rsid w:val="3DB732B8"/>
    <w:rsid w:val="3E4827B3"/>
    <w:rsid w:val="3F4F8294"/>
    <w:rsid w:val="3FC967BB"/>
    <w:rsid w:val="4849645D"/>
    <w:rsid w:val="48657FF5"/>
    <w:rsid w:val="4AAE5E77"/>
    <w:rsid w:val="4AE819A7"/>
    <w:rsid w:val="4AFFBCEF"/>
    <w:rsid w:val="4E71744F"/>
    <w:rsid w:val="55FD3C09"/>
    <w:rsid w:val="573E402F"/>
    <w:rsid w:val="57B7763E"/>
    <w:rsid w:val="593F084E"/>
    <w:rsid w:val="5AEC1D04"/>
    <w:rsid w:val="5B9C762E"/>
    <w:rsid w:val="5DF61550"/>
    <w:rsid w:val="5FEFE224"/>
    <w:rsid w:val="5FFF1833"/>
    <w:rsid w:val="600B4851"/>
    <w:rsid w:val="66DE01DF"/>
    <w:rsid w:val="678D5F2A"/>
    <w:rsid w:val="6ABF56B9"/>
    <w:rsid w:val="6B685329"/>
    <w:rsid w:val="6B7112E3"/>
    <w:rsid w:val="6BBF2293"/>
    <w:rsid w:val="6BF53A6A"/>
    <w:rsid w:val="6C1A2C8C"/>
    <w:rsid w:val="6D7376AA"/>
    <w:rsid w:val="6FFCD037"/>
    <w:rsid w:val="70A354B3"/>
    <w:rsid w:val="73FB071B"/>
    <w:rsid w:val="74EB39D5"/>
    <w:rsid w:val="7677EBD7"/>
    <w:rsid w:val="77DF5BC0"/>
    <w:rsid w:val="7DEB9645"/>
    <w:rsid w:val="7DF72A40"/>
    <w:rsid w:val="7E7F3826"/>
    <w:rsid w:val="7F3EB25A"/>
    <w:rsid w:val="7FB88EB4"/>
    <w:rsid w:val="7FBB581A"/>
    <w:rsid w:val="7FED0035"/>
    <w:rsid w:val="7FFBB9D1"/>
    <w:rsid w:val="7FFF2DC4"/>
    <w:rsid w:val="7FFF86D0"/>
    <w:rsid w:val="98DD5C0B"/>
    <w:rsid w:val="9AD7EC3C"/>
    <w:rsid w:val="ADFAE9F9"/>
    <w:rsid w:val="B7B4699A"/>
    <w:rsid w:val="BCBE5C85"/>
    <w:rsid w:val="BFB733C1"/>
    <w:rsid w:val="CDD7BC32"/>
    <w:rsid w:val="D7DE19F1"/>
    <w:rsid w:val="DFEB4FB5"/>
    <w:rsid w:val="E3DF3F7C"/>
    <w:rsid w:val="E67D41DE"/>
    <w:rsid w:val="E7DFAD61"/>
    <w:rsid w:val="E7DFC919"/>
    <w:rsid w:val="EBB72C2F"/>
    <w:rsid w:val="F7DEA921"/>
    <w:rsid w:val="F7FDC79B"/>
    <w:rsid w:val="FA67C397"/>
    <w:rsid w:val="FB75C3E0"/>
    <w:rsid w:val="FBFF84D7"/>
    <w:rsid w:val="FBFFA02B"/>
    <w:rsid w:val="FEB99521"/>
    <w:rsid w:val="FFB71F66"/>
    <w:rsid w:val="FFDB226F"/>
    <w:rsid w:val="FFFF31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1">
    <w:name w:val="p0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2">
    <w:name w:val="四号正文"/>
    <w:basedOn w:val="1"/>
    <w:link w:val="13"/>
    <w:qFormat/>
    <w:uiPriority w:val="0"/>
    <w:pPr>
      <w:spacing w:line="360" w:lineRule="auto"/>
    </w:pPr>
    <w:rPr>
      <w:rFonts w:ascii="??" w:hAnsi="??" w:cs="宋体"/>
      <w:color w:val="000000"/>
      <w:kern w:val="0"/>
      <w:sz w:val="28"/>
      <w:szCs w:val="21"/>
    </w:rPr>
  </w:style>
  <w:style w:type="character" w:customStyle="1" w:styleId="13">
    <w:name w:val="四号正文 Char"/>
    <w:basedOn w:val="7"/>
    <w:link w:val="12"/>
    <w:qFormat/>
    <w:uiPriority w:val="0"/>
    <w:rPr>
      <w:rFonts w:ascii="??" w:hAnsi="??" w:eastAsia="宋体" w:cs="宋体"/>
      <w:color w:val="000000"/>
      <w:kern w:val="0"/>
      <w:sz w:val="28"/>
      <w:szCs w:val="21"/>
    </w:rPr>
  </w:style>
  <w:style w:type="character" w:customStyle="1" w:styleId="14">
    <w:name w:val="日期 Char"/>
    <w:basedOn w:val="7"/>
    <w:link w:val="2"/>
    <w:semiHidden/>
    <w:qFormat/>
    <w:uiPriority w:val="99"/>
    <w:rPr>
      <w:rFonts w:ascii="Times New Roman" w:hAnsi="Times New Roman" w:eastAsia="宋体" w:cs="Times New Roman"/>
    </w:rPr>
  </w:style>
  <w:style w:type="paragraph" w:customStyle="1" w:styleId="15">
    <w:name w:val="标题1"/>
    <w:basedOn w:val="1"/>
    <w:qFormat/>
    <w:uiPriority w:val="0"/>
    <w:pPr>
      <w:spacing w:before="100" w:after="50" w:line="440" w:lineRule="exact"/>
      <w:ind w:firstLine="0" w:firstLineChars="0"/>
      <w:outlineLvl w:val="1"/>
    </w:pPr>
    <w:rPr>
      <w:rFonts w:ascii="黑体" w:hAnsi="黑体" w:eastAsia="黑体"/>
      <w:sz w:val="36"/>
      <w:szCs w:val="28"/>
    </w:rPr>
  </w:style>
  <w:style w:type="paragraph" w:customStyle="1" w:styleId="16">
    <w:name w:val="标题2"/>
    <w:basedOn w:val="1"/>
    <w:qFormat/>
    <w:uiPriority w:val="0"/>
    <w:pPr>
      <w:spacing w:before="100" w:after="10" w:line="440" w:lineRule="exact"/>
      <w:ind w:firstLine="0" w:firstLineChars="0"/>
      <w:outlineLvl w:val="2"/>
    </w:pPr>
    <w:rPr>
      <w:rFonts w:ascii="黑体" w:hAnsi="黑体" w:eastAsia="黑体"/>
      <w:sz w:val="36"/>
    </w:rPr>
  </w:style>
  <w:style w:type="paragraph" w:customStyle="1" w:styleId="17">
    <w:name w:val="标题3"/>
    <w:basedOn w:val="1"/>
    <w:qFormat/>
    <w:uiPriority w:val="0"/>
    <w:pPr>
      <w:spacing w:before="100" w:after="50" w:line="440" w:lineRule="exact"/>
      <w:ind w:firstLine="0" w:firstLineChars="0"/>
      <w:outlineLvl w:val="2"/>
    </w:pPr>
    <w:rPr>
      <w:rFonts w:ascii="宋体" w:hAnsi="宋体" w:eastAsia="黑体"/>
      <w:sz w:val="30"/>
    </w:rPr>
  </w:style>
  <w:style w:type="paragraph" w:customStyle="1" w:styleId="18">
    <w:name w:val="Heading #2|1"/>
    <w:basedOn w:val="1"/>
    <w:qFormat/>
    <w:uiPriority w:val="0"/>
    <w:pPr>
      <w:widowControl w:val="0"/>
      <w:shd w:val="clear" w:color="auto" w:fill="auto"/>
      <w:spacing w:after="270"/>
      <w:outlineLvl w:val="1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2743</Words>
  <Characters>2822</Characters>
  <Lines>153</Lines>
  <Paragraphs>43</Paragraphs>
  <TotalTime>61</TotalTime>
  <ScaleCrop>false</ScaleCrop>
  <LinksUpToDate>false</LinksUpToDate>
  <CharactersWithSpaces>2887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2021-03-05T09:35:00Z</dcterms:created>
  <dc:creator>伍松</dc:creator>
  <cp:lastModifiedBy>璐酱</cp:lastModifiedBy>
  <cp:lastPrinted>2026-08-28T02:04:00Z</cp:lastPrinted>
  <dcterms:modified xsi:type="dcterms:W3CDTF">2026-09-04T09:14:59Z</dcterms:modified>
  <cp:revision>221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F6451E5914C54568A73188F3470C9771_13</vt:lpwstr>
  </property>
  <property fmtid="{D5CDD505-2E9C-101B-9397-08002B2CF9AE}" pid="4" name="KSOTemplateDocerSaveRecord">
    <vt:lpwstr>eyJoZGlkIjoiNDQ1NjY4ODdmMGNlNDBlOTMwYjcxODlmMDhjZWFkZWYiLCJ1c2VySWQiOiI1MDkyOTM2MTYifQ==</vt:lpwstr>
  </property>
</Properties>
</file>