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F38E5">
      <w:pPr>
        <w:keepNext w:val="0"/>
        <w:keepLines w:val="0"/>
        <w:pageBreakBefore w:val="0"/>
        <w:widowControl/>
        <w:kinsoku/>
        <w:wordWrap/>
        <w:overflowPunct/>
        <w:topLinePunct w:val="0"/>
        <w:autoSpaceDE/>
        <w:autoSpaceDN/>
        <w:bidi w:val="0"/>
        <w:spacing w:beforeLines="0" w:afterLines="0" w:line="560" w:lineRule="exact"/>
        <w:jc w:val="center"/>
        <w:textAlignment w:val="auto"/>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南江县</w:t>
      </w:r>
      <w:r>
        <w:rPr>
          <w:rFonts w:hint="default" w:ascii="Times New Roman" w:hAnsi="Times New Roman" w:eastAsia="方正小标宋简体" w:cs="Times New Roman"/>
          <w:sz w:val="44"/>
          <w:szCs w:val="44"/>
          <w:shd w:val="clear" w:color="auto" w:fill="FFFFFF"/>
          <w:lang w:val="en-US" w:eastAsia="zh-CN"/>
        </w:rPr>
        <w:t>元潭</w:t>
      </w:r>
      <w:r>
        <w:rPr>
          <w:rFonts w:hint="default" w:ascii="Times New Roman" w:hAnsi="Times New Roman" w:eastAsia="方正小标宋简体" w:cs="Times New Roman"/>
          <w:sz w:val="44"/>
          <w:szCs w:val="44"/>
          <w:shd w:val="clear" w:color="auto" w:fill="FFFFFF"/>
        </w:rPr>
        <w:t>镇人民政府</w:t>
      </w:r>
    </w:p>
    <w:p w14:paraId="74F6DBAE">
      <w:pPr>
        <w:keepNext w:val="0"/>
        <w:keepLines w:val="0"/>
        <w:pageBreakBefore w:val="0"/>
        <w:widowControl/>
        <w:kinsoku/>
        <w:wordWrap/>
        <w:overflowPunct/>
        <w:topLinePunct w:val="0"/>
        <w:autoSpaceDE/>
        <w:autoSpaceDN/>
        <w:bidi w:val="0"/>
        <w:spacing w:beforeLines="0" w:afterLines="0" w:line="560" w:lineRule="exact"/>
        <w:ind w:firstLine="440" w:firstLineChars="100"/>
        <w:jc w:val="both"/>
        <w:textAlignment w:val="auto"/>
        <w:rPr>
          <w:rFonts w:hint="default" w:ascii="Times New Roman" w:hAnsi="Times New Roman" w:cs="Times New Roman"/>
          <w:sz w:val="24"/>
          <w:szCs w:val="24"/>
        </w:rPr>
      </w:pPr>
      <w:r>
        <w:rPr>
          <w:rFonts w:hint="default" w:ascii="Times New Roman" w:hAnsi="Times New Roman" w:eastAsia="方正小标宋简体" w:cs="Times New Roman"/>
          <w:sz w:val="44"/>
          <w:szCs w:val="44"/>
          <w:shd w:val="clear" w:color="auto" w:fill="FFFFFF"/>
        </w:rPr>
        <w:t>202</w:t>
      </w:r>
      <w:r>
        <w:rPr>
          <w:rFonts w:hint="default" w:ascii="Times New Roman" w:hAnsi="Times New Roman" w:eastAsia="方正小标宋简体" w:cs="Times New Roman"/>
          <w:sz w:val="44"/>
          <w:szCs w:val="44"/>
          <w:shd w:val="clear" w:color="auto" w:fill="FFFFFF"/>
          <w:lang w:val="en-US" w:eastAsia="zh-CN"/>
        </w:rPr>
        <w:t>5</w:t>
      </w:r>
      <w:r>
        <w:rPr>
          <w:rFonts w:hint="default" w:ascii="Times New Roman" w:hAnsi="Times New Roman" w:eastAsia="方正小标宋简体" w:cs="Times New Roman"/>
          <w:sz w:val="44"/>
          <w:szCs w:val="44"/>
          <w:shd w:val="clear" w:color="auto" w:fill="FFFFFF"/>
        </w:rPr>
        <w:t>年部门整体支出绩效评价的报告</w:t>
      </w:r>
    </w:p>
    <w:p w14:paraId="095B0FF1">
      <w:pPr>
        <w:keepNext w:val="0"/>
        <w:keepLines w:val="0"/>
        <w:pageBreakBefore w:val="0"/>
        <w:widowControl/>
        <w:numPr>
          <w:ilvl w:val="0"/>
          <w:numId w:val="0"/>
        </w:numPr>
        <w:kinsoku/>
        <w:wordWrap/>
        <w:overflowPunct/>
        <w:topLinePunct w:val="0"/>
        <w:autoSpaceDE/>
        <w:autoSpaceDN/>
        <w:bidi w:val="0"/>
        <w:snapToGrid w:val="0"/>
        <w:spacing w:beforeLines="0" w:afterLines="0" w:line="560" w:lineRule="exact"/>
        <w:ind w:firstLine="640" w:firstLineChars="200"/>
        <w:textAlignment w:val="auto"/>
        <w:rPr>
          <w:rFonts w:hint="default" w:ascii="Times New Roman" w:hAnsi="Times New Roman" w:eastAsia="方正黑体简体" w:cs="Times New Roman"/>
          <w:color w:val="000000"/>
          <w:sz w:val="32"/>
          <w:szCs w:val="32"/>
          <w:shd w:val="clear" w:color="auto" w:fill="FFFFFF"/>
          <w:lang w:val="zh-CN"/>
        </w:rPr>
      </w:pPr>
    </w:p>
    <w:p w14:paraId="60AC30D4">
      <w:pPr>
        <w:keepNext w:val="0"/>
        <w:keepLines w:val="0"/>
        <w:pageBreakBefore w:val="0"/>
        <w:widowControl/>
        <w:numPr>
          <w:ilvl w:val="0"/>
          <w:numId w:val="0"/>
        </w:numPr>
        <w:kinsoku/>
        <w:wordWrap/>
        <w:overflowPunct/>
        <w:topLinePunct w:val="0"/>
        <w:autoSpaceDE/>
        <w:autoSpaceDN/>
        <w:bidi w:val="0"/>
        <w:snapToGrid w:val="0"/>
        <w:spacing w:beforeLines="0" w:afterLines="0"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color w:val="000000"/>
          <w:sz w:val="32"/>
          <w:szCs w:val="32"/>
          <w:shd w:val="clear" w:color="auto" w:fill="FFFFFF"/>
          <w:lang w:val="zh-CN"/>
        </w:rPr>
        <w:t>一、单位基本情况</w:t>
      </w:r>
    </w:p>
    <w:p w14:paraId="77A8098B">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（一）机构组成</w:t>
      </w:r>
    </w:p>
    <w:p w14:paraId="7EC58929">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南江县元潭镇人民政府</w:t>
      </w:r>
      <w:r>
        <w:rPr>
          <w:rFonts w:hint="default" w:ascii="Times New Roman" w:hAnsi="Times New Roman" w:eastAsia="方正仿宋简体" w:cs="Times New Roman"/>
          <w:sz w:val="32"/>
          <w:szCs w:val="40"/>
        </w:rPr>
        <w:t>内设综合办事机构</w:t>
      </w:r>
      <w:r>
        <w:rPr>
          <w:rFonts w:hint="default" w:ascii="Times New Roman" w:hAnsi="Times New Roman" w:eastAsia="方正仿宋简体" w:cs="Times New Roman"/>
          <w:sz w:val="32"/>
          <w:szCs w:val="40"/>
          <w:lang w:val="en-US" w:eastAsia="zh-CN"/>
        </w:rPr>
        <w:t>7</w:t>
      </w:r>
      <w:r>
        <w:rPr>
          <w:rFonts w:hint="default" w:ascii="Times New Roman" w:hAnsi="Times New Roman" w:eastAsia="方正仿宋简体" w:cs="Times New Roman"/>
          <w:sz w:val="32"/>
          <w:szCs w:val="40"/>
        </w:rPr>
        <w:t>个，分别是：</w:t>
      </w:r>
      <w:r>
        <w:rPr>
          <w:rFonts w:hint="default" w:ascii="Times New Roman" w:hAnsi="Times New Roman" w:eastAsia="方正仿宋简体" w:cs="Times New Roman"/>
          <w:sz w:val="32"/>
          <w:szCs w:val="40"/>
          <w:lang w:eastAsia="zh-CN"/>
        </w:rPr>
        <w:t>党建工作</w:t>
      </w:r>
      <w:r>
        <w:rPr>
          <w:rFonts w:hint="default" w:ascii="Times New Roman" w:hAnsi="Times New Roman" w:eastAsia="方正仿宋简体" w:cs="Times New Roman"/>
          <w:sz w:val="32"/>
          <w:szCs w:val="40"/>
        </w:rPr>
        <w:t>办公室、</w:t>
      </w:r>
      <w:r>
        <w:rPr>
          <w:rFonts w:hint="default" w:ascii="Times New Roman" w:hAnsi="Times New Roman" w:eastAsia="方正仿宋简体" w:cs="Times New Roman"/>
          <w:sz w:val="32"/>
          <w:szCs w:val="40"/>
          <w:lang w:val="en-US" w:eastAsia="zh-CN"/>
        </w:rPr>
        <w:t>党政综合办公室、</w:t>
      </w:r>
      <w:r>
        <w:rPr>
          <w:rFonts w:hint="default" w:ascii="Times New Roman" w:hAnsi="Times New Roman" w:eastAsia="方正仿宋简体" w:cs="Times New Roman"/>
          <w:sz w:val="32"/>
          <w:szCs w:val="40"/>
        </w:rPr>
        <w:t>经济发展办公室、</w:t>
      </w:r>
      <w:r>
        <w:rPr>
          <w:rFonts w:hint="default" w:ascii="Times New Roman" w:hAnsi="Times New Roman" w:eastAsia="方正仿宋简体" w:cs="Times New Roman"/>
          <w:sz w:val="32"/>
          <w:szCs w:val="40"/>
          <w:lang w:val="en-US" w:eastAsia="zh-CN"/>
        </w:rPr>
        <w:t>社会治理和社会事务办公室、</w:t>
      </w:r>
      <w:r>
        <w:rPr>
          <w:rFonts w:hint="default" w:ascii="Times New Roman" w:hAnsi="Times New Roman" w:eastAsia="方正仿宋简体" w:cs="Times New Roman"/>
          <w:sz w:val="32"/>
          <w:szCs w:val="40"/>
          <w:lang w:eastAsia="zh-CN"/>
        </w:rPr>
        <w:t>综合行政执法办公室、</w:t>
      </w:r>
      <w:r>
        <w:rPr>
          <w:rFonts w:hint="default" w:ascii="Times New Roman" w:hAnsi="Times New Roman" w:eastAsia="方正仿宋简体" w:cs="Times New Roman"/>
          <w:sz w:val="32"/>
          <w:szCs w:val="40"/>
          <w:lang w:val="en-US" w:eastAsia="zh-CN"/>
        </w:rPr>
        <w:t>应急管理办公室、</w:t>
      </w:r>
      <w:r>
        <w:rPr>
          <w:rFonts w:hint="default" w:ascii="Times New Roman" w:hAnsi="Times New Roman" w:eastAsia="方正仿宋简体" w:cs="Times New Roman"/>
          <w:sz w:val="32"/>
          <w:szCs w:val="40"/>
        </w:rPr>
        <w:t>财政所</w:t>
      </w:r>
      <w:r>
        <w:rPr>
          <w:rFonts w:hint="default" w:ascii="Times New Roman" w:hAnsi="Times New Roman" w:eastAsia="方正仿宋简体" w:cs="Times New Roman"/>
          <w:sz w:val="32"/>
          <w:szCs w:val="40"/>
          <w:lang w:eastAsia="zh-CN"/>
        </w:rPr>
        <w:t>。直属一类公益机构</w:t>
      </w:r>
      <w:r>
        <w:rPr>
          <w:rFonts w:hint="default" w:ascii="Times New Roman" w:hAnsi="Times New Roman" w:eastAsia="方正仿宋简体" w:cs="Times New Roman"/>
          <w:sz w:val="32"/>
          <w:szCs w:val="40"/>
          <w:lang w:val="en-US" w:eastAsia="zh-CN"/>
        </w:rPr>
        <w:t>2个</w:t>
      </w:r>
      <w:r>
        <w:rPr>
          <w:rFonts w:hint="default" w:ascii="Times New Roman" w:hAnsi="Times New Roman" w:eastAsia="方正仿宋简体" w:cs="Times New Roman"/>
          <w:sz w:val="32"/>
          <w:szCs w:val="40"/>
        </w:rPr>
        <w:t>，分别是：</w:t>
      </w:r>
      <w:r>
        <w:rPr>
          <w:rFonts w:hint="default" w:ascii="Times New Roman" w:hAnsi="Times New Roman" w:eastAsia="方正仿宋简体" w:cs="Times New Roman"/>
          <w:sz w:val="32"/>
          <w:szCs w:val="40"/>
          <w:lang w:eastAsia="zh-CN"/>
        </w:rPr>
        <w:t>便民服务中心、</w:t>
      </w:r>
      <w:r>
        <w:rPr>
          <w:rFonts w:hint="default" w:ascii="Times New Roman" w:hAnsi="Times New Roman" w:eastAsia="方正仿宋简体" w:cs="Times New Roman"/>
          <w:sz w:val="32"/>
          <w:szCs w:val="40"/>
        </w:rPr>
        <w:t>农业</w:t>
      </w:r>
      <w:r>
        <w:rPr>
          <w:rFonts w:hint="default" w:ascii="Times New Roman" w:hAnsi="Times New Roman" w:eastAsia="方正仿宋简体" w:cs="Times New Roman"/>
          <w:sz w:val="32"/>
          <w:szCs w:val="40"/>
          <w:lang w:eastAsia="zh-CN"/>
        </w:rPr>
        <w:t>综合</w:t>
      </w:r>
      <w:r>
        <w:rPr>
          <w:rFonts w:hint="default" w:ascii="Times New Roman" w:hAnsi="Times New Roman" w:eastAsia="方正仿宋简体" w:cs="Times New Roman"/>
          <w:sz w:val="32"/>
          <w:szCs w:val="40"/>
          <w:lang w:val="en-US" w:eastAsia="zh-CN"/>
        </w:rPr>
        <w:t>服务中心。</w:t>
      </w:r>
    </w:p>
    <w:p w14:paraId="76A61BE7">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（二）机构职能</w:t>
      </w:r>
    </w:p>
    <w:p w14:paraId="7B1B1FB2">
      <w:pPr>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方正仿宋简体" w:cs="Times New Roman"/>
          <w:sz w:val="32"/>
          <w:szCs w:val="40"/>
        </w:rPr>
      </w:pPr>
      <w:r>
        <w:rPr>
          <w:rFonts w:hint="default" w:ascii="Times New Roman" w:hAnsi="Times New Roman" w:eastAsia="方正仿宋简体" w:cs="Times New Roman"/>
          <w:sz w:val="32"/>
          <w:szCs w:val="40"/>
        </w:rPr>
        <w:t>1.贯彻执行党和国家的路线、方针、政策和法律、法规</w:t>
      </w:r>
      <w:r>
        <w:rPr>
          <w:rFonts w:hint="eastAsia" w:ascii="Times New Roman" w:hAnsi="Times New Roman" w:eastAsia="方正仿宋简体" w:cs="Times New Roman"/>
          <w:sz w:val="32"/>
          <w:szCs w:val="40"/>
          <w:lang w:eastAsia="zh-CN"/>
        </w:rPr>
        <w:t>，</w:t>
      </w:r>
      <w:r>
        <w:rPr>
          <w:rFonts w:hint="eastAsia" w:ascii="Times New Roman" w:hAnsi="Times New Roman" w:eastAsia="方正仿宋简体" w:cs="Times New Roman"/>
          <w:sz w:val="32"/>
          <w:szCs w:val="40"/>
          <w:lang w:val="en-US" w:eastAsia="zh-CN"/>
        </w:rPr>
        <w:t>以及</w:t>
      </w:r>
      <w:r>
        <w:rPr>
          <w:rFonts w:hint="default" w:ascii="Times New Roman" w:hAnsi="Times New Roman" w:eastAsia="方正仿宋简体" w:cs="Times New Roman"/>
          <w:sz w:val="32"/>
          <w:szCs w:val="40"/>
        </w:rPr>
        <w:t>上级党委、政府的决定、命令。</w:t>
      </w:r>
    </w:p>
    <w:p w14:paraId="53987D11">
      <w:pPr>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方正仿宋简体" w:cs="Times New Roman"/>
          <w:sz w:val="32"/>
          <w:szCs w:val="40"/>
        </w:rPr>
      </w:pPr>
      <w:r>
        <w:rPr>
          <w:rFonts w:hint="default" w:ascii="Times New Roman" w:hAnsi="Times New Roman" w:eastAsia="方正仿宋简体" w:cs="Times New Roman"/>
          <w:sz w:val="32"/>
          <w:szCs w:val="40"/>
        </w:rPr>
        <w:t>2.促进本地经济发展。编制区域内经济发展规划、年度计划并组织实施。指导经济结构调整和推进经济发展方式转变，因地制宜组织发展区域特色经济。营造经济发展环境,提供示范引导和政策服务。发展农村经济，加强农村经济管理。引导和促进新型农村专业合作经济组织发展,提高农民进入市场的组织化程度。</w:t>
      </w:r>
    </w:p>
    <w:p w14:paraId="2ABF4B2E">
      <w:pPr>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方正仿宋简体" w:cs="Times New Roman"/>
          <w:sz w:val="32"/>
          <w:szCs w:val="40"/>
        </w:rPr>
      </w:pPr>
      <w:r>
        <w:rPr>
          <w:rFonts w:hint="default" w:ascii="Times New Roman" w:hAnsi="Times New Roman" w:eastAsia="方正仿宋简体" w:cs="Times New Roman"/>
          <w:sz w:val="32"/>
          <w:szCs w:val="40"/>
        </w:rPr>
        <w:t>3.提供区域公共服务。编制区域内各项社会事业发展规划，完善社会化服务体系。充分利用和整合农村</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lang w:val="en-US" w:eastAsia="zh-CN"/>
        </w:rPr>
        <w:t>城镇</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rPr>
        <w:t>资源，为城乡居民提供教育、科技、体育、文化、信息、卫生、医疗、人才开发、劳动就业、社会保障、计划生育、安全生产、防灾减灾、城乡低保、社会救助、社会治安等方面的服务。管好用好国家转移到农村的各项资金。加强基础设施建设和新型城乡服务体系建设,抓好农田水利、镇村道路、生态环境等各项公益事业建设,推进社会主义新农村建设。</w:t>
      </w:r>
    </w:p>
    <w:p w14:paraId="64E9033E">
      <w:pPr>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方正仿宋简体" w:cs="Times New Roman"/>
          <w:b/>
          <w:color w:val="000000"/>
          <w:sz w:val="32"/>
          <w:szCs w:val="32"/>
        </w:rPr>
      </w:pPr>
      <w:r>
        <w:rPr>
          <w:rFonts w:hint="default" w:ascii="Times New Roman" w:hAnsi="Times New Roman" w:eastAsia="方正仿宋简体" w:cs="Times New Roman"/>
          <w:sz w:val="32"/>
          <w:szCs w:val="40"/>
        </w:rPr>
        <w:t>4.全面加强社会管理。承担区域内的财政、税收、统计、民政、公安、司法、人民武装和退役军人事务等管理工作。加强环境保护，努力改善人居环境，促进人与人、人与自然、人与社会的和谐发展。负责管理区域内的社区、社团和经济组织,发挥社团、行业组织和社会中介组织的作用。推行依法行政，严格依法履行职责，实行政务公开。综合发挥人民调解、行政调解和司法调解作用，妥善处理突发性、群体性事件,及时化解辖区内各种矛盾纠纷,保障人民生命财产安全，确保社会稳定。协调社区建设与物业管理的关系，建立物业管理工作联席会议制度。</w:t>
      </w:r>
    </w:p>
    <w:p w14:paraId="0BF5B08B">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5.完成县委、县政府交办的其他任务。</w:t>
      </w:r>
    </w:p>
    <w:p w14:paraId="07F342B3">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（三）人员概况</w:t>
      </w:r>
    </w:p>
    <w:p w14:paraId="463C6F52">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t>疑似错误，注意区分截止和截至。末。我镇现有编制人数54人，其中：公务员编制数26人，事业人员编制数25人，工勤人员编制数3人。实有在职人数52人。其中：公务员 26人、事业人员 24人、工勤2人。长赡人员 8人。离职村（社区）干部88人。</w:t>
      </w:r>
    </w:p>
    <w:p w14:paraId="364032B7">
      <w:pPr>
        <w:keepNext w:val="0"/>
        <w:keepLines w:val="0"/>
        <w:pageBreakBefore w:val="0"/>
        <w:widowControl/>
        <w:numPr>
          <w:ilvl w:val="0"/>
          <w:numId w:val="0"/>
        </w:numPr>
        <w:kinsoku/>
        <w:wordWrap/>
        <w:overflowPunct/>
        <w:topLinePunct w:val="0"/>
        <w:autoSpaceDE/>
        <w:autoSpaceDN/>
        <w:bidi w:val="0"/>
        <w:snapToGrid w:val="0"/>
        <w:spacing w:beforeLines="0" w:afterLines="0" w:line="560" w:lineRule="exact"/>
        <w:ind w:firstLine="640" w:firstLineChars="200"/>
        <w:textAlignment w:val="auto"/>
        <w:rPr>
          <w:rFonts w:hint="default" w:ascii="Times New Roman" w:hAnsi="Times New Roman" w:eastAsia="方正黑体简体" w:cs="Times New Roman"/>
          <w:color w:val="000000"/>
          <w:sz w:val="32"/>
          <w:szCs w:val="32"/>
          <w:shd w:val="clear" w:color="auto" w:fill="FFFFFF"/>
          <w:lang w:val="en-US" w:eastAsia="zh-CN"/>
        </w:rPr>
      </w:pPr>
      <w:r>
        <w:rPr>
          <w:rFonts w:hint="default" w:ascii="Times New Roman" w:hAnsi="Times New Roman" w:eastAsia="方正黑体简体" w:cs="Times New Roman"/>
          <w:color w:val="000000"/>
          <w:sz w:val="32"/>
          <w:szCs w:val="32"/>
          <w:shd w:val="clear" w:color="auto" w:fill="FFFFFF"/>
          <w:lang w:val="zh-CN"/>
        </w:rPr>
        <w:t>二、</w:t>
      </w:r>
      <w:r>
        <w:rPr>
          <w:rFonts w:hint="default" w:ascii="Times New Roman" w:hAnsi="Times New Roman" w:eastAsia="方正黑体简体" w:cs="Times New Roman"/>
          <w:color w:val="000000"/>
          <w:sz w:val="32"/>
          <w:szCs w:val="32"/>
          <w:shd w:val="clear" w:color="auto" w:fill="FFFFFF"/>
          <w:lang w:val="zh-CN" w:eastAsia="zh-CN"/>
        </w:rPr>
        <w:t>部门</w:t>
      </w:r>
      <w:r>
        <w:rPr>
          <w:rFonts w:hint="default" w:ascii="Times New Roman" w:hAnsi="Times New Roman" w:eastAsia="方正黑体简体" w:cs="Times New Roman"/>
          <w:color w:val="000000"/>
          <w:sz w:val="32"/>
          <w:szCs w:val="32"/>
          <w:shd w:val="clear" w:color="auto" w:fill="FFFFFF"/>
          <w:lang w:val="zh-CN"/>
        </w:rPr>
        <w:t>资金收支情况</w:t>
      </w:r>
    </w:p>
    <w:p w14:paraId="140E58FF">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（一）单位财政资金收入情况</w:t>
      </w:r>
    </w:p>
    <w:p w14:paraId="5DBBD02D">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2025年财政拨款收入预算总数1642.58 万元，比2024年财政拨款收</w:t>
      </w:r>
      <w:r>
        <w:rPr>
          <w:rFonts w:hint="eastAsia" w:ascii="Times New Roman" w:hAnsi="Times New Roman" w:eastAsia="方正仿宋简体" w:cs="Times New Roman"/>
          <w:color w:val="auto"/>
          <w:sz w:val="32"/>
          <w:szCs w:val="32"/>
          <w:lang w:val="en-US" w:eastAsia="zh-CN"/>
        </w:rPr>
        <w:t>入</w:t>
      </w:r>
      <w:r>
        <w:rPr>
          <w:rFonts w:hint="default" w:ascii="Times New Roman" w:hAnsi="Times New Roman" w:eastAsia="方正仿宋简体" w:cs="Times New Roman"/>
          <w:color w:val="auto"/>
          <w:sz w:val="32"/>
          <w:szCs w:val="32"/>
          <w:lang w:val="en-US" w:eastAsia="zh-CN"/>
        </w:rPr>
        <w:t>预算总数增加181.62万元。其中：一般公共预算拨款收入1540.61万元，占总收入93.79</w:t>
      </w:r>
      <w:r>
        <w:rPr>
          <w:rFonts w:hint="default" w:ascii="Times New Roman" w:hAnsi="Times New Roman" w:eastAsia="方正仿宋简体" w:cs="Times New Roman"/>
          <w:color w:val="auto"/>
          <w:sz w:val="32"/>
          <w:szCs w:val="32"/>
          <w:lang w:val="zh-CN" w:eastAsia="zh-CN"/>
        </w:rPr>
        <w:t>%。</w:t>
      </w:r>
    </w:p>
    <w:p w14:paraId="14EBFB21">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（二）部门财政资金支出情况</w:t>
      </w:r>
    </w:p>
    <w:p w14:paraId="0A768417">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2025年财政拨款支出预算总数1642.58万元，比2024年财政拨款支出预算总数增加181.62万元，其中：基本支出1409.59万元，占总支出85.82%，项目支出232.99万元，占总支出14.18%。</w:t>
      </w:r>
    </w:p>
    <w:p w14:paraId="4B10A2D4">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（三）部门财政支出管理情况</w:t>
      </w:r>
    </w:p>
    <w:p w14:paraId="44E1E040">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基本支出1409.59万元。其中：人员经费1155.80万元，公用经费253.79 万元。</w:t>
      </w:r>
    </w:p>
    <w:p w14:paraId="40A5A84D">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项目支出232.99万元。</w:t>
      </w:r>
    </w:p>
    <w:p w14:paraId="0F573E52">
      <w:pPr>
        <w:keepNext w:val="0"/>
        <w:keepLines w:val="0"/>
        <w:pageBreakBefore w:val="0"/>
        <w:widowControl/>
        <w:numPr>
          <w:ilvl w:val="0"/>
          <w:numId w:val="0"/>
        </w:numPr>
        <w:kinsoku/>
        <w:wordWrap/>
        <w:overflowPunct/>
        <w:topLinePunct w:val="0"/>
        <w:autoSpaceDE/>
        <w:autoSpaceDN/>
        <w:bidi w:val="0"/>
        <w:snapToGrid w:val="0"/>
        <w:spacing w:beforeLines="0" w:afterLines="0" w:line="560" w:lineRule="exact"/>
        <w:ind w:firstLine="640" w:firstLineChars="200"/>
        <w:textAlignment w:val="auto"/>
        <w:rPr>
          <w:rFonts w:hint="default" w:ascii="Times New Roman" w:hAnsi="Times New Roman" w:eastAsia="方正黑体简体" w:cs="Times New Roman"/>
          <w:color w:val="000000"/>
          <w:sz w:val="32"/>
          <w:szCs w:val="32"/>
          <w:shd w:val="clear" w:color="auto" w:fill="FFFFFF"/>
          <w:lang w:val="en-US" w:eastAsia="zh-CN"/>
        </w:rPr>
      </w:pPr>
      <w:r>
        <w:rPr>
          <w:rFonts w:hint="default" w:ascii="Times New Roman" w:hAnsi="Times New Roman" w:eastAsia="方正黑体简体" w:cs="Times New Roman"/>
          <w:color w:val="000000"/>
          <w:sz w:val="32"/>
          <w:szCs w:val="32"/>
          <w:shd w:val="clear" w:color="auto" w:fill="FFFFFF"/>
          <w:lang w:val="en-US" w:eastAsia="zh-CN"/>
        </w:rPr>
        <w:t>三、部门预算绩效分析</w:t>
      </w:r>
    </w:p>
    <w:p w14:paraId="421EA1A2">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（一）制度建设情况</w:t>
      </w:r>
    </w:p>
    <w:p w14:paraId="621CAD92">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为进一步完善我镇各项规章制度，加强各岗位风险评估和监管力度，充分发挥财政资金效力，杜绝违法违规行为，我镇制定和完善了《机关内务管理制度》《政府采购管理制度》《预算管理制度》《收支管理制度》《财务管理制度》等制度办法。</w:t>
      </w:r>
    </w:p>
    <w:p w14:paraId="4C618F1A">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（二）绩效目标管理情况</w:t>
      </w:r>
    </w:p>
    <w:p w14:paraId="22BD4CE3">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预算编制。在年度预算编制中，严格按照财政印发的预算编制口径和标准编制人员经费，根据上年度项目支出情况，结合单位重点工作实际，本着厉行节约、突出重点的原则打紧安排，按照预算编制要求编制本单位预算，预算编制依据充分，符合本单位工作实际需求。</w:t>
      </w:r>
    </w:p>
    <w:p w14:paraId="3AFB6A45">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2.绩效目标设立。按照《预算法》以及2025 年部门预算编制口径及要求，对2025年重点工作按照上级业务主管部门下达的目标绩效指标结合部门工作实际，设立了工作目标，绩效目标设立完整，符合项目业务工作实际要求，可行性强。</w:t>
      </w:r>
    </w:p>
    <w:p w14:paraId="001CDCBD">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3.绩效目标过程监控的规范性和长效性。在项目开展的过程中，严格对照绩效目标，加强过程监管，规范监管程序，确保绩效目标过程监控的规范性和长效性。</w:t>
      </w:r>
    </w:p>
    <w:p w14:paraId="498C7AA5">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绩效评价。年度结束后，各业务部门对2025年度的主要业务工作和重点工作进行了全面梳理，在全面总结的基础上形成了总结报告，根据业务工作开展情况以及资金的使用情况对整体支出和各项目支出进行绩效评价，评价依据完整，客观、公正。</w:t>
      </w:r>
    </w:p>
    <w:p w14:paraId="01694C81">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（三）综合管理情况</w:t>
      </w:r>
    </w:p>
    <w:p w14:paraId="1BF619C0">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1.政府采购实施计划：全年按照年初采购预算和工作实际需要，根据《政府采购法》《政府采购法实施条例》和镇内政府采购制度等管理规定，按政府采购程序采购电脑等设备。</w:t>
      </w:r>
    </w:p>
    <w:p w14:paraId="238AFE38">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2.三公经费预算使用情况：</w:t>
      </w:r>
      <w:r>
        <w:rPr>
          <w:rFonts w:hint="eastAsia" w:ascii="Times New Roman" w:hAnsi="Times New Roman" w:eastAsia="方正仿宋简体" w:cs="Times New Roman"/>
          <w:color w:val="auto"/>
          <w:sz w:val="32"/>
          <w:szCs w:val="32"/>
          <w:lang w:val="en-US" w:eastAsia="zh-CN"/>
        </w:rPr>
        <w:t>全年</w:t>
      </w:r>
      <w:r>
        <w:rPr>
          <w:rFonts w:hint="default" w:ascii="Times New Roman" w:hAnsi="Times New Roman" w:eastAsia="方正仿宋简体" w:cs="Times New Roman"/>
          <w:color w:val="auto"/>
          <w:sz w:val="32"/>
          <w:szCs w:val="32"/>
          <w:lang w:val="en-US" w:eastAsia="zh-CN"/>
        </w:rPr>
        <w:t>无公务接待支出，无因公出国（境）费用，无公务用车购置及运行维护费支出。</w:t>
      </w:r>
    </w:p>
    <w:p w14:paraId="46A1FF54">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3.资产管理情况：严格按照资产管理办法及相关规定进行全镇的资产购置、处置等，按时计提折旧，及时更新资产管理系统，确保资产管理规范有序。</w:t>
      </w:r>
    </w:p>
    <w:p w14:paraId="4E9EFECD">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4.政府信息公开情况：按照规定加强信息公开审核，及时公开政府采购、财务预决算资料等信息。</w:t>
      </w:r>
    </w:p>
    <w:p w14:paraId="61591E33">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5.依法接受监督检查情况：我镇积极接受财政、审计、纪委等部门的监督检查，并认真进行自查自纠，确保及时整改。</w:t>
      </w:r>
    </w:p>
    <w:p w14:paraId="00AF4063">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（四）综合绩效情况</w:t>
      </w:r>
    </w:p>
    <w:p w14:paraId="159427F1">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重点项目绩效评价结果。根据年初制定的重点项目绩效目标，全年完成了绩效目标任务，本单位整体支出绩效评价较好，严格按照有关规定科学合理地编制专项预算，所提交的文件、资料均符合相关要求，同时严格按照财政部门专项资金的相关规定进行资金管理，切实做到专款专用，达到预期效果。</w:t>
      </w:r>
    </w:p>
    <w:p w14:paraId="7D05460A">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2.部门职能完成情况。2025年，在县委、县政府的坚强领导下，在习近平新时代中国特色社会主义思想指引下，较好完成目标绩效任务。</w:t>
      </w:r>
    </w:p>
    <w:p w14:paraId="3D343276">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（一）工作开展情况。</w:t>
      </w:r>
    </w:p>
    <w:p w14:paraId="3FD1EFFF">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项目工作情况。项目储备任务数4个，完成5个，完成率125%，储备概算投资任务1亿元，总投资2.5亿元，完成率250%；转化开工项目任务数4个，完成3个，完成率75%，转化开工完成总投资8000万元；固投入库任务数2个，完成3个，完成率150%，完成投资额3110万元；完成招商引资2300万元。</w:t>
      </w:r>
    </w:p>
    <w:p w14:paraId="247F3229">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产业发展情况。农业方面。完成大豆玉米带状复合种植2327亩、玉米集群500亩、种植油菜13218亩；建设整治熊家坝村提灌站、烘干房、唐家堰塘等农业项目，提前完成下坝村、凉水村、治坪村厕所革命项目；完成3个家庭农场、1个专业合作社提档升级；省农业保险“双精准”数字地图样板间试点，未出现任何动物疫情。文旅服务业方面。联动村级文化点开展惠民演出15场，覆盖群众1800余人，全年更新图书1200余册，保障全镇10个村级文化阵地两个社区正常开放，服务群众超1200人次。</w:t>
      </w:r>
    </w:p>
    <w:p w14:paraId="6A8013A2">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3.民生服务保障工作情况。保障城乡低保对象646户1373 人，分散特困人员42人，累计发放资金448万余元，确保了困难群众基本生活。充分发挥临时救助“救急难”作用，全年救助 107人次，发放资金7.77万元，有效化解群众突发性、临时性生活困难。</w:t>
      </w:r>
    </w:p>
    <w:p w14:paraId="04E4A4AA">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（二）工作亮点</w:t>
      </w:r>
    </w:p>
    <w:p w14:paraId="084DA801">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项目工作扎实。元泉村、彭家缘村两口油气井勘探推进快速有力，南丰村以工代赈、字库村水土保持等项目高质高效。高标农田有效推进，没有舆情发生，没有撂荒。招商引资抓实。实打实完成2300万元，储备项目2个预计下月开工。安全底线靠实。压实联村责任、网格责任，全年没有发生一起交通、建筑等安全事故。</w:t>
      </w:r>
    </w:p>
    <w:p w14:paraId="44C216E9">
      <w:pPr>
        <w:keepNext w:val="0"/>
        <w:keepLines w:val="0"/>
        <w:pageBreakBefore w:val="0"/>
        <w:widowControl/>
        <w:numPr>
          <w:ilvl w:val="0"/>
          <w:numId w:val="0"/>
        </w:numPr>
        <w:kinsoku/>
        <w:wordWrap/>
        <w:overflowPunct/>
        <w:topLinePunct w:val="0"/>
        <w:autoSpaceDE/>
        <w:autoSpaceDN/>
        <w:bidi w:val="0"/>
        <w:snapToGrid w:val="0"/>
        <w:spacing w:beforeLines="0" w:afterLines="0" w:line="560" w:lineRule="exact"/>
        <w:ind w:firstLine="640" w:firstLineChars="200"/>
        <w:textAlignment w:val="auto"/>
        <w:rPr>
          <w:rFonts w:hint="default" w:ascii="Times New Roman" w:hAnsi="Times New Roman" w:eastAsia="方正黑体简体" w:cs="Times New Roman"/>
          <w:color w:val="000000"/>
          <w:sz w:val="32"/>
          <w:szCs w:val="32"/>
          <w:shd w:val="clear" w:color="auto" w:fill="FFFFFF"/>
          <w:lang w:val="en-US" w:eastAsia="zh-CN"/>
        </w:rPr>
      </w:pPr>
      <w:r>
        <w:rPr>
          <w:rFonts w:hint="default" w:ascii="Times New Roman" w:hAnsi="Times New Roman" w:eastAsia="方正黑体简体" w:cs="Times New Roman"/>
          <w:color w:val="000000"/>
          <w:sz w:val="32"/>
          <w:szCs w:val="32"/>
          <w:shd w:val="clear" w:color="auto" w:fill="FFFFFF"/>
          <w:lang w:val="en-US" w:eastAsia="zh-CN"/>
        </w:rPr>
        <w:t>四、评价结论及建议</w:t>
      </w:r>
    </w:p>
    <w:p w14:paraId="2D54D9FD">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（一）评价结论</w:t>
      </w:r>
    </w:p>
    <w:p w14:paraId="44DE1F44">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从整体情况来看，我镇在各项资金使用和项目实施中，能够按照国家相关规定执行和实施，项目的管理、实施和效果均达到预期目的，管理较规范、实施进度快、最终效果好。</w:t>
      </w:r>
    </w:p>
    <w:p w14:paraId="1A404A9E">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（二）存在问题</w:t>
      </w:r>
    </w:p>
    <w:p w14:paraId="677A4A54">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项目绩效指标设定的可实施性和可考核性量化程度不足，项目绩效指标设定的量化指标和细化指标有待进一步加强。</w:t>
      </w:r>
    </w:p>
    <w:p w14:paraId="0B7ECC6B">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楷体简体" w:cs="Times New Roman"/>
          <w:b w:val="0"/>
          <w:bCs/>
          <w:color w:val="auto"/>
          <w:sz w:val="32"/>
          <w:szCs w:val="32"/>
          <w:lang w:val="en-US" w:eastAsia="zh-CN"/>
        </w:rPr>
      </w:pPr>
      <w:r>
        <w:rPr>
          <w:rFonts w:hint="default" w:ascii="Times New Roman" w:hAnsi="Times New Roman" w:eastAsia="方正楷体简体" w:cs="Times New Roman"/>
          <w:b w:val="0"/>
          <w:bCs/>
          <w:color w:val="auto"/>
          <w:sz w:val="32"/>
          <w:szCs w:val="32"/>
          <w:lang w:val="en-US" w:eastAsia="zh-CN"/>
        </w:rPr>
        <w:t>（三）改进建议</w:t>
      </w:r>
    </w:p>
    <w:p w14:paraId="063E5B8E">
      <w:pPr>
        <w:keepNext w:val="0"/>
        <w:keepLines w:val="0"/>
        <w:pageBreakBefore w:val="0"/>
        <w:kinsoku/>
        <w:wordWrap/>
        <w:overflowPunct/>
        <w:topLinePunct w:val="0"/>
        <w:autoSpaceDE/>
        <w:autoSpaceDN/>
        <w:bidi w:val="0"/>
        <w:adjustRightInd/>
        <w:spacing w:beforeLines="0" w:afterLines="0" w:line="56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一是细化预算编制工作。严格按照预算编制的相关制度和要求做好预算的编制工作。设置科学合理、可衡量化的项目绩效目标及绩效指标。二是加强财务管理。严格按照预算规定的项目和用途进行资金使用审核。三是严格项目实施进度的跟踪。及时开展项目绩效评价，确保项目绩效目标完成。</w:t>
      </w:r>
    </w:p>
    <w:p w14:paraId="3D0386B3">
      <w:pPr>
        <w:pStyle w:val="2"/>
        <w:rPr>
          <w:rFonts w:hint="default" w:ascii="Times New Roman" w:hAnsi="Times New Roman" w:eastAsia="方正仿宋简体" w:cs="Times New Roman"/>
          <w:color w:val="auto"/>
          <w:sz w:val="32"/>
          <w:szCs w:val="32"/>
          <w:lang w:val="en-US" w:eastAsia="zh-CN"/>
        </w:rPr>
      </w:pPr>
    </w:p>
    <w:p w14:paraId="6E5B67B5">
      <w:pPr>
        <w:pStyle w:val="2"/>
        <w:rPr>
          <w:rFonts w:hint="default" w:ascii="Times New Roman" w:hAnsi="Times New Roman" w:eastAsia="方正仿宋简体" w:cs="Times New Roman"/>
          <w:color w:val="auto"/>
          <w:sz w:val="32"/>
          <w:szCs w:val="32"/>
          <w:lang w:val="en-US" w:eastAsia="zh-CN"/>
        </w:rPr>
      </w:pPr>
      <w:r>
        <w:rPr>
          <w:rFonts w:hint="eastAsia" w:ascii="Times New Roman" w:hAnsi="Times New Roman" w:eastAsia="方正仿宋简体" w:cs="Times New Roman"/>
          <w:color w:val="auto"/>
          <w:sz w:val="32"/>
          <w:szCs w:val="32"/>
          <w:lang w:val="en-US" w:eastAsia="zh-CN"/>
        </w:rPr>
        <w:t>附件1：2026年县级部门整体支出绩效评价指标体系</w:t>
      </w:r>
      <w:bookmarkStart w:id="0" w:name="_GoBack"/>
      <w:bookmarkEnd w:id="0"/>
    </w:p>
    <w:p w14:paraId="7E9827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方正楷体简体">
    <w:panose1 w:val="02000000000000000000"/>
    <w:charset w:val="86"/>
    <w:family w:val="auto"/>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A5159C"/>
    <w:rsid w:val="47DC3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99"/>
    <w:pPr>
      <w:widowControl w:val="0"/>
      <w:autoSpaceDE w:val="0"/>
      <w:autoSpaceDN w:val="0"/>
      <w:adjustRightInd w:val="0"/>
      <w:spacing w:beforeLines="0" w:afterLines="0"/>
    </w:pPr>
    <w:rPr>
      <w:rFonts w:hint="default" w:ascii="Times New Roman" w:hAnsi="Times New Roman" w:eastAsia="宋体" w:cs="Times New Roman"/>
      <w:sz w:val="24"/>
      <w:szCs w:val="2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unhideWhenUsed/>
    <w:qFormat/>
    <w:uiPriority w:val="99"/>
    <w:pPr>
      <w:spacing w:beforeLines="0" w:afterLines="0"/>
    </w:pPr>
    <w:rPr>
      <w:rFonts w:hint="eastAsia" w:ascii="宋体" w:hAnsi="Courier New" w:eastAsia="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3049</Words>
  <Characters>3239</Characters>
  <Lines>0</Lines>
  <Paragraphs>0</Paragraphs>
  <TotalTime>13</TotalTime>
  <ScaleCrop>false</ScaleCrop>
  <LinksUpToDate>false</LinksUpToDate>
  <CharactersWithSpaces>3247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2026-09-04T04:28:00Z</dcterms:created>
  <dc:creator>lenovo</dc:creator>
  <cp:lastModifiedBy>璐酱</cp:lastModifiedBy>
  <dcterms:modified xsi:type="dcterms:W3CDTF">2026-09-04T09:11:20Z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eyJoZGlkIjoiNDQ1NjY4ODdmMGNlNDBlOTMwYjcxODlmMDhjZWFkZWYiLCJ1c2VySWQiOiI1MDkyOTM2MTYifQ==</vt:lpwstr>
  </property>
  <property fmtid="{D5CDD505-2E9C-101B-9397-08002B2CF9AE}" pid="4" name="ICV">
    <vt:lpwstr>BFD71080B076414FB3D7BB254AD8DA37_13</vt:lpwstr>
  </property>
</Properties>
</file>