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eastAsia="方正小标宋简体"/>
          <w:spacing w:val="-11"/>
          <w:sz w:val="44"/>
          <w:szCs w:val="44"/>
        </w:rPr>
      </w:pPr>
      <w:r>
        <w:rPr>
          <w:rFonts w:hint="eastAsia" w:ascii="方正小标宋简体" w:eastAsia="方正小标宋简体"/>
          <w:spacing w:val="-11"/>
          <w:sz w:val="44"/>
          <w:szCs w:val="44"/>
        </w:rPr>
        <w:t>南江县国家储备林建设项目林</w:t>
      </w:r>
      <w:r>
        <w:rPr>
          <w:rFonts w:hint="eastAsia" w:ascii="方正小标宋简体" w:eastAsia="方正小标宋简体"/>
          <w:spacing w:val="-11"/>
          <w:sz w:val="44"/>
          <w:szCs w:val="44"/>
          <w:lang w:val="en-US" w:eastAsia="zh-CN"/>
        </w:rPr>
        <w:t>权流转</w:t>
      </w:r>
      <w:r>
        <w:rPr>
          <w:rFonts w:hint="eastAsia" w:ascii="方正小标宋简体" w:eastAsia="方正小标宋简体"/>
          <w:spacing w:val="-11"/>
          <w:sz w:val="44"/>
          <w:szCs w:val="44"/>
        </w:rPr>
        <w:t>实施方案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eastAsia="仿宋_GB2312"/>
          <w:sz w:val="32"/>
          <w:szCs w:val="32"/>
        </w:rPr>
      </w:pPr>
      <w:r>
        <w:rPr>
          <w:rFonts w:hint="eastAsia" w:ascii="仿宋_GB2312" w:eastAsia="仿宋_GB2312"/>
          <w:sz w:val="32"/>
          <w:szCs w:val="32"/>
        </w:rPr>
        <w:t>（征求意见稿）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0" w:firstLineChars="200"/>
        <w:textAlignment w:val="auto"/>
        <w:rPr>
          <w:rFonts w:hint="eastAsia" w:ascii="仿宋_GB2312" w:eastAsia="仿宋_GB2312"/>
          <w:sz w:val="32"/>
          <w:szCs w:val="32"/>
        </w:rPr>
      </w:pPr>
      <w:r>
        <w:rPr>
          <w:rFonts w:hint="eastAsia" w:ascii="仿宋_GB2312" w:eastAsia="仿宋_GB2312"/>
          <w:sz w:val="32"/>
          <w:szCs w:val="32"/>
        </w:rPr>
        <w:t>为加快我县国家储备林建设项目，根据《中共中央办公厅 国务院办公厅印发</w:t>
      </w:r>
      <w:r>
        <w:rPr>
          <w:rFonts w:hint="eastAsia" w:ascii="仿宋_GB2312" w:eastAsia="仿宋_GB2312"/>
          <w:sz w:val="32"/>
          <w:szCs w:val="32"/>
          <w:lang w:eastAsia="zh-CN"/>
        </w:rPr>
        <w:t>〈</w:t>
      </w:r>
      <w:r>
        <w:rPr>
          <w:rFonts w:hint="eastAsia" w:ascii="仿宋_GB2312" w:eastAsia="仿宋_GB2312"/>
          <w:sz w:val="32"/>
          <w:szCs w:val="32"/>
        </w:rPr>
        <w:t>深化集体林权制度改革方案</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《国家林业和草原局关于做好深化集体林权制度改革有关工作的通知》（林改发〔2024〕10号）</w:t>
      </w:r>
      <w:r>
        <w:rPr>
          <w:rFonts w:hint="eastAsia" w:ascii="仿宋_GB2312" w:eastAsia="仿宋_GB2312"/>
          <w:sz w:val="32"/>
          <w:szCs w:val="32"/>
        </w:rPr>
        <w:t>《四川省林权流转管理办法》</w:t>
      </w:r>
      <w:r>
        <w:rPr>
          <w:rFonts w:hint="eastAsia" w:ascii="仿宋_GB2312" w:eastAsia="仿宋_GB2312"/>
          <w:sz w:val="32"/>
          <w:szCs w:val="32"/>
          <w:lang w:eastAsia="zh-CN"/>
        </w:rPr>
        <w:t>（</w:t>
      </w:r>
      <w:r>
        <w:rPr>
          <w:rFonts w:hint="eastAsia" w:ascii="仿宋_GB2312" w:eastAsia="仿宋_GB2312"/>
          <w:sz w:val="32"/>
          <w:szCs w:val="32"/>
        </w:rPr>
        <w:t>川林发</w:t>
      </w:r>
      <w:r>
        <w:rPr>
          <w:rFonts w:hint="eastAsia" w:ascii="仿宋_GB2312" w:eastAsia="仿宋_GB2312"/>
          <w:sz w:val="32"/>
          <w:szCs w:val="32"/>
          <w:lang w:eastAsia="zh-CN"/>
        </w:rPr>
        <w:t>〔</w:t>
      </w:r>
      <w:r>
        <w:rPr>
          <w:rFonts w:hint="eastAsia" w:ascii="仿宋_GB2312" w:eastAsia="仿宋_GB2312"/>
          <w:sz w:val="32"/>
          <w:szCs w:val="32"/>
        </w:rPr>
        <w:t>2019</w:t>
      </w:r>
      <w:r>
        <w:rPr>
          <w:rFonts w:hint="eastAsia" w:ascii="仿宋_GB2312" w:eastAsia="仿宋_GB2312"/>
          <w:sz w:val="32"/>
          <w:szCs w:val="32"/>
          <w:lang w:eastAsia="zh-CN"/>
        </w:rPr>
        <w:t>〕</w:t>
      </w:r>
      <w:r>
        <w:rPr>
          <w:rFonts w:hint="eastAsia" w:ascii="仿宋_GB2312" w:eastAsia="仿宋_GB2312"/>
          <w:sz w:val="32"/>
          <w:szCs w:val="32"/>
        </w:rPr>
        <w:t>30号</w:t>
      </w:r>
      <w:r>
        <w:rPr>
          <w:rFonts w:hint="eastAsia" w:ascii="仿宋_GB2312" w:eastAsia="仿宋_GB2312"/>
          <w:sz w:val="32"/>
          <w:szCs w:val="32"/>
          <w:lang w:eastAsia="zh-CN"/>
        </w:rPr>
        <w:t>）</w:t>
      </w:r>
      <w:r>
        <w:rPr>
          <w:rFonts w:hint="eastAsia" w:ascii="仿宋_GB2312" w:eastAsia="仿宋_GB2312"/>
          <w:sz w:val="32"/>
          <w:szCs w:val="32"/>
        </w:rPr>
        <w:t>《四川省林业和草原局关于进一步利用开发性政策性金融</w:t>
      </w:r>
      <w:bookmarkStart w:id="0" w:name="_GoBack"/>
      <w:bookmarkEnd w:id="0"/>
      <w:r>
        <w:rPr>
          <w:rFonts w:hint="eastAsia" w:ascii="仿宋_GB2312" w:eastAsia="仿宋_GB2312"/>
          <w:sz w:val="32"/>
          <w:szCs w:val="32"/>
        </w:rPr>
        <w:t>推进国家储备林建设的通知》</w:t>
      </w:r>
      <w:r>
        <w:rPr>
          <w:rFonts w:hint="eastAsia" w:ascii="仿宋_GB2312" w:eastAsia="仿宋_GB2312"/>
          <w:sz w:val="32"/>
          <w:szCs w:val="32"/>
          <w:lang w:eastAsia="zh-CN"/>
        </w:rPr>
        <w:t>（</w:t>
      </w:r>
      <w:r>
        <w:rPr>
          <w:rFonts w:hint="eastAsia" w:ascii="仿宋_GB2312" w:eastAsia="仿宋_GB2312"/>
          <w:sz w:val="32"/>
          <w:szCs w:val="32"/>
        </w:rPr>
        <w:t>川林规函</w:t>
      </w:r>
      <w:r>
        <w:rPr>
          <w:rFonts w:hint="eastAsia" w:ascii="仿宋_GB2312" w:eastAsia="仿宋_GB2312"/>
          <w:sz w:val="32"/>
          <w:szCs w:val="32"/>
          <w:lang w:eastAsia="zh-CN"/>
        </w:rPr>
        <w:t>〔</w:t>
      </w:r>
      <w:r>
        <w:rPr>
          <w:rFonts w:hint="eastAsia" w:ascii="仿宋_GB2312" w:eastAsia="仿宋_GB2312"/>
          <w:sz w:val="32"/>
          <w:szCs w:val="32"/>
        </w:rPr>
        <w:t>2020</w:t>
      </w:r>
      <w:r>
        <w:rPr>
          <w:rFonts w:hint="eastAsia" w:ascii="仿宋_GB2312" w:eastAsia="仿宋_GB2312"/>
          <w:sz w:val="32"/>
          <w:szCs w:val="32"/>
          <w:lang w:eastAsia="zh-CN"/>
        </w:rPr>
        <w:t>〕</w:t>
      </w:r>
      <w:r>
        <w:rPr>
          <w:rFonts w:hint="eastAsia" w:ascii="仿宋_GB2312" w:eastAsia="仿宋_GB2312"/>
          <w:sz w:val="32"/>
          <w:szCs w:val="32"/>
        </w:rPr>
        <w:t>977号</w:t>
      </w:r>
      <w:r>
        <w:rPr>
          <w:rFonts w:hint="eastAsia" w:ascii="仿宋_GB2312" w:eastAsia="仿宋_GB2312"/>
          <w:sz w:val="32"/>
          <w:szCs w:val="32"/>
          <w:lang w:eastAsia="zh-CN"/>
        </w:rPr>
        <w:t>）</w:t>
      </w:r>
      <w:r>
        <w:rPr>
          <w:rFonts w:hint="eastAsia" w:ascii="仿宋_GB2312" w:eastAsia="仿宋_GB2312"/>
          <w:sz w:val="32"/>
          <w:szCs w:val="32"/>
        </w:rPr>
        <w:t>等</w:t>
      </w:r>
      <w:r>
        <w:rPr>
          <w:rFonts w:hint="default" w:ascii="仿宋_GB2312" w:eastAsia="仿宋_GB2312"/>
          <w:sz w:val="32"/>
          <w:szCs w:val="32"/>
        </w:rPr>
        <w:t>文件</w:t>
      </w:r>
      <w:r>
        <w:rPr>
          <w:rFonts w:hint="eastAsia" w:ascii="仿宋_GB2312" w:eastAsia="仿宋_GB2312"/>
          <w:sz w:val="32"/>
          <w:szCs w:val="32"/>
        </w:rPr>
        <w:t>精神，结合南江实际，制定本实施方案。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rPr>
        <w:t>一、</w:t>
      </w:r>
      <w:r>
        <w:rPr>
          <w:rFonts w:hint="eastAsia" w:ascii="黑体" w:hAnsi="黑体" w:eastAsia="黑体"/>
          <w:sz w:val="32"/>
          <w:szCs w:val="32"/>
          <w:lang w:val="en-US" w:eastAsia="zh-CN"/>
        </w:rPr>
        <w:t>总体要求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指导思想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0" w:firstLineChars="200"/>
        <w:textAlignment w:val="auto"/>
        <w:rPr>
          <w:rFonts w:hint="eastAsia" w:ascii="仿宋_GB2312" w:eastAsia="仿宋_GB2312"/>
          <w:sz w:val="32"/>
          <w:szCs w:val="32"/>
        </w:rPr>
      </w:pPr>
      <w:r>
        <w:rPr>
          <w:rFonts w:hint="eastAsia" w:ascii="仿宋_GB2312" w:eastAsia="仿宋_GB2312"/>
          <w:sz w:val="32"/>
          <w:szCs w:val="32"/>
        </w:rPr>
        <w:t>坚持以习近平新时代中国特色社会主义思想为指导，深入贯彻党的二十大精神</w:t>
      </w:r>
      <w:r>
        <w:rPr>
          <w:rFonts w:hint="eastAsia" w:ascii="仿宋_GB2312" w:eastAsia="仿宋_GB2312"/>
          <w:sz w:val="32"/>
          <w:szCs w:val="32"/>
          <w:lang w:eastAsia="zh-CN"/>
        </w:rPr>
        <w:t>，</w:t>
      </w:r>
      <w:r>
        <w:rPr>
          <w:rFonts w:hint="eastAsia" w:ascii="仿宋_GB2312" w:eastAsia="仿宋_GB2312"/>
          <w:sz w:val="32"/>
          <w:szCs w:val="32"/>
        </w:rPr>
        <w:t>全面落实</w:t>
      </w:r>
      <w:r>
        <w:rPr>
          <w:rFonts w:hint="eastAsia" w:ascii="仿宋_GB2312" w:eastAsia="仿宋_GB2312"/>
          <w:sz w:val="32"/>
          <w:szCs w:val="32"/>
          <w:lang w:val="en-US" w:eastAsia="zh-CN"/>
        </w:rPr>
        <w:t>国、</w:t>
      </w:r>
      <w:r>
        <w:rPr>
          <w:rFonts w:hint="eastAsia" w:ascii="仿宋_GB2312" w:eastAsia="仿宋_GB2312"/>
          <w:sz w:val="32"/>
          <w:szCs w:val="32"/>
        </w:rPr>
        <w:t>省、市国家储备林建设（以下简称国储林）相关要求</w:t>
      </w:r>
      <w:r>
        <w:rPr>
          <w:rFonts w:hint="eastAsia" w:ascii="仿宋_GB2312" w:eastAsia="仿宋_GB2312"/>
          <w:sz w:val="32"/>
          <w:szCs w:val="32"/>
          <w:lang w:eastAsia="zh-CN"/>
        </w:rPr>
        <w:t>，</w:t>
      </w:r>
      <w:r>
        <w:rPr>
          <w:rFonts w:hint="eastAsia" w:ascii="仿宋_GB2312" w:eastAsia="仿宋_GB2312"/>
          <w:sz w:val="32"/>
          <w:szCs w:val="32"/>
        </w:rPr>
        <w:t>牢牢守住发展和生态两条底线，以增加木材储备和林业产业发展为主线，积极创新林业投融资机制，转变林业发展方式，建设优质高效的国储林，全面改善生态环境和森林质量，</w:t>
      </w:r>
      <w:r>
        <w:rPr>
          <w:rFonts w:hint="eastAsia" w:ascii="仿宋_GB2312" w:eastAsia="仿宋_GB2312"/>
          <w:sz w:val="32"/>
          <w:szCs w:val="32"/>
          <w:lang w:val="en-US" w:eastAsia="zh-CN"/>
        </w:rPr>
        <w:t>切实</w:t>
      </w:r>
      <w:r>
        <w:rPr>
          <w:rFonts w:hint="eastAsia" w:ascii="仿宋_GB2312" w:eastAsia="仿宋_GB2312"/>
          <w:sz w:val="32"/>
          <w:szCs w:val="32"/>
        </w:rPr>
        <w:t>维护国家生态安全与木材安全，推动</w:t>
      </w:r>
      <w:r>
        <w:rPr>
          <w:rFonts w:hint="eastAsia" w:ascii="仿宋_GB2312" w:eastAsia="仿宋_GB2312"/>
          <w:sz w:val="32"/>
          <w:szCs w:val="32"/>
          <w:lang w:val="en-US" w:eastAsia="zh-CN"/>
        </w:rPr>
        <w:t>南江</w:t>
      </w:r>
      <w:r>
        <w:rPr>
          <w:rFonts w:hint="eastAsia" w:ascii="仿宋_GB2312" w:eastAsia="仿宋_GB2312"/>
          <w:sz w:val="32"/>
          <w:szCs w:val="32"/>
        </w:rPr>
        <w:t>林业可持续发展。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基本原则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楷体_GB2312" w:eastAsia="楷体_GB2312"/>
          <w:b/>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政府引导、</w:t>
      </w:r>
      <w:r>
        <w:rPr>
          <w:rFonts w:hint="eastAsia" w:ascii="仿宋_GB2312" w:hAnsi="仿宋_GB2312" w:eastAsia="仿宋_GB2312" w:cs="仿宋_GB2312"/>
          <w:b/>
          <w:sz w:val="32"/>
          <w:szCs w:val="32"/>
          <w:lang w:val="en-US" w:eastAsia="zh-CN"/>
        </w:rPr>
        <w:t>群众参与</w:t>
      </w:r>
      <w:r>
        <w:rPr>
          <w:rFonts w:hint="eastAsia" w:ascii="仿宋_GB2312" w:eastAsia="仿宋_GB2312"/>
          <w:sz w:val="32"/>
          <w:szCs w:val="32"/>
        </w:rPr>
        <w:t>。发挥政府</w:t>
      </w:r>
      <w:r>
        <w:rPr>
          <w:rFonts w:hint="eastAsia" w:ascii="仿宋_GB2312" w:eastAsia="仿宋_GB2312"/>
          <w:sz w:val="32"/>
          <w:szCs w:val="32"/>
          <w:lang w:val="en-US" w:eastAsia="zh-CN"/>
        </w:rPr>
        <w:t>组织推动</w:t>
      </w:r>
      <w:r>
        <w:rPr>
          <w:rFonts w:hint="eastAsia" w:ascii="仿宋_GB2312" w:eastAsia="仿宋_GB2312"/>
          <w:sz w:val="32"/>
          <w:szCs w:val="32"/>
        </w:rPr>
        <w:t>作用，整体调控、分步实施、平稳推进，</w:t>
      </w:r>
      <w:r>
        <w:rPr>
          <w:rFonts w:hint="eastAsia" w:ascii="仿宋_GB2312" w:eastAsia="仿宋_GB2312"/>
          <w:sz w:val="32"/>
          <w:szCs w:val="32"/>
          <w:lang w:val="en-US" w:eastAsia="zh-CN"/>
        </w:rPr>
        <w:t>做好政策宣传解释，充分尊重群众意愿，保护群众合法利益，</w:t>
      </w:r>
      <w:r>
        <w:rPr>
          <w:rFonts w:hint="eastAsia" w:ascii="仿宋_GB2312" w:eastAsia="仿宋_GB2312"/>
          <w:sz w:val="32"/>
          <w:szCs w:val="32"/>
        </w:rPr>
        <w:t>引导</w:t>
      </w:r>
      <w:r>
        <w:rPr>
          <w:rFonts w:hint="eastAsia" w:ascii="仿宋_GB2312" w:eastAsia="仿宋_GB2312"/>
          <w:sz w:val="32"/>
          <w:szCs w:val="32"/>
          <w:lang w:val="en-US" w:eastAsia="zh-CN"/>
        </w:rPr>
        <w:t>群众</w:t>
      </w:r>
      <w:r>
        <w:rPr>
          <w:rFonts w:hint="eastAsia" w:ascii="仿宋_GB2312" w:eastAsia="仿宋_GB2312"/>
          <w:sz w:val="32"/>
          <w:szCs w:val="32"/>
        </w:rPr>
        <w:t>支持参与</w:t>
      </w:r>
      <w:r>
        <w:rPr>
          <w:rFonts w:hint="eastAsia" w:ascii="仿宋_GB2312" w:eastAsia="仿宋_GB2312"/>
          <w:sz w:val="32"/>
          <w:szCs w:val="32"/>
          <w:lang w:val="en-US" w:eastAsia="zh-CN"/>
        </w:rPr>
        <w:t>国储</w:t>
      </w:r>
      <w:r>
        <w:rPr>
          <w:rFonts w:hint="eastAsia" w:ascii="仿宋_GB2312" w:eastAsia="仿宋_GB2312"/>
          <w:sz w:val="32"/>
          <w:szCs w:val="32"/>
        </w:rPr>
        <w:t>林</w:t>
      </w:r>
      <w:r>
        <w:rPr>
          <w:rFonts w:hint="eastAsia" w:ascii="仿宋_GB2312" w:eastAsia="仿宋_GB2312"/>
          <w:sz w:val="32"/>
          <w:szCs w:val="32"/>
          <w:lang w:val="en-US" w:eastAsia="zh-CN"/>
        </w:rPr>
        <w:t>建设项目</w:t>
      </w:r>
      <w:r>
        <w:rPr>
          <w:rFonts w:hint="eastAsia" w:ascii="仿宋_GB2312" w:eastAsia="仿宋_GB2312"/>
          <w:sz w:val="32"/>
          <w:szCs w:val="32"/>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楷体_GB2312" w:eastAsia="楷体_GB2312"/>
          <w:b/>
          <w:sz w:val="32"/>
          <w:szCs w:val="32"/>
        </w:rPr>
      </w:pPr>
      <w:r>
        <w:rPr>
          <w:rFonts w:hint="eastAsia" w:ascii="仿宋_GB2312" w:hAnsi="仿宋_GB2312" w:eastAsia="仿宋_GB2312" w:cs="仿宋_GB2312"/>
          <w:b/>
          <w:sz w:val="32"/>
          <w:szCs w:val="32"/>
          <w:lang w:val="en-US" w:eastAsia="zh-CN"/>
        </w:rPr>
        <w:t>2.市场运作、依法公开</w:t>
      </w:r>
      <w:r>
        <w:rPr>
          <w:rFonts w:hint="eastAsia" w:ascii="仿宋_GB2312" w:eastAsia="仿宋_GB2312"/>
          <w:sz w:val="32"/>
          <w:szCs w:val="32"/>
        </w:rPr>
        <w:t>。</w:t>
      </w:r>
      <w:r>
        <w:rPr>
          <w:rFonts w:hint="eastAsia" w:ascii="仿宋_GB2312" w:eastAsia="仿宋_GB2312"/>
          <w:sz w:val="32"/>
          <w:szCs w:val="32"/>
          <w:lang w:val="en-US" w:eastAsia="zh-CN"/>
        </w:rPr>
        <w:t>发挥国储林建设项目公司（以下简称项目公司）主体作用，坚持</w:t>
      </w:r>
      <w:r>
        <w:rPr>
          <w:rFonts w:hint="eastAsia" w:ascii="仿宋_GB2312" w:eastAsia="仿宋_GB2312"/>
          <w:sz w:val="32"/>
          <w:szCs w:val="32"/>
        </w:rPr>
        <w:t>“依法、自愿、有偿”</w:t>
      </w:r>
      <w:r>
        <w:rPr>
          <w:rFonts w:hint="eastAsia" w:ascii="仿宋_GB2312" w:eastAsia="仿宋_GB2312"/>
          <w:sz w:val="32"/>
          <w:szCs w:val="32"/>
          <w:lang w:val="en-US" w:eastAsia="zh-CN"/>
        </w:rPr>
        <w:t>原则</w:t>
      </w:r>
      <w:r>
        <w:rPr>
          <w:rFonts w:hint="eastAsia" w:ascii="仿宋_GB2312" w:eastAsia="仿宋_GB2312"/>
          <w:sz w:val="32"/>
          <w:szCs w:val="32"/>
        </w:rPr>
        <w:t>，</w:t>
      </w:r>
      <w:r>
        <w:rPr>
          <w:rFonts w:hint="eastAsia" w:ascii="仿宋_GB2312" w:eastAsia="仿宋_GB2312"/>
          <w:sz w:val="32"/>
          <w:szCs w:val="32"/>
          <w:lang w:val="en-US" w:eastAsia="zh-CN"/>
        </w:rPr>
        <w:t>通过市场化模式</w:t>
      </w:r>
      <w:r>
        <w:rPr>
          <w:rFonts w:hint="eastAsia" w:ascii="仿宋_GB2312" w:eastAsia="仿宋_GB2312"/>
          <w:sz w:val="32"/>
          <w:szCs w:val="32"/>
        </w:rPr>
        <w:t>，依法公</w:t>
      </w:r>
      <w:r>
        <w:rPr>
          <w:rFonts w:hint="eastAsia" w:ascii="仿宋_GB2312" w:eastAsia="仿宋_GB2312"/>
          <w:sz w:val="32"/>
          <w:szCs w:val="32"/>
          <w:lang w:val="en-US" w:eastAsia="zh-CN"/>
        </w:rPr>
        <w:t>布公</w:t>
      </w:r>
      <w:r>
        <w:rPr>
          <w:rFonts w:hint="eastAsia" w:ascii="仿宋_GB2312" w:eastAsia="仿宋_GB2312"/>
          <w:sz w:val="32"/>
          <w:szCs w:val="32"/>
        </w:rPr>
        <w:t>开林</w:t>
      </w:r>
      <w:r>
        <w:rPr>
          <w:rFonts w:hint="eastAsia" w:ascii="仿宋_GB2312" w:eastAsia="仿宋_GB2312"/>
          <w:sz w:val="32"/>
          <w:szCs w:val="32"/>
          <w:lang w:val="en-US" w:eastAsia="zh-CN"/>
        </w:rPr>
        <w:t>权</w:t>
      </w:r>
      <w:r>
        <w:rPr>
          <w:rFonts w:hint="eastAsia" w:ascii="仿宋_GB2312" w:eastAsia="仿宋_GB2312"/>
          <w:sz w:val="32"/>
          <w:szCs w:val="32"/>
        </w:rPr>
        <w:t>流转</w:t>
      </w:r>
      <w:r>
        <w:rPr>
          <w:rFonts w:hint="eastAsia" w:ascii="仿宋_GB2312" w:eastAsia="仿宋_GB2312"/>
          <w:sz w:val="32"/>
          <w:szCs w:val="32"/>
          <w:lang w:val="en-US" w:eastAsia="zh-CN"/>
        </w:rPr>
        <w:t>方式</w:t>
      </w:r>
      <w:r>
        <w:rPr>
          <w:rFonts w:hint="eastAsia" w:ascii="仿宋_GB2312" w:eastAsia="仿宋_GB2312"/>
          <w:sz w:val="32"/>
          <w:szCs w:val="32"/>
        </w:rPr>
        <w:t>，</w:t>
      </w:r>
      <w:r>
        <w:rPr>
          <w:rFonts w:hint="eastAsia" w:ascii="仿宋_GB2312" w:eastAsia="仿宋_GB2312"/>
          <w:sz w:val="32"/>
          <w:szCs w:val="32"/>
          <w:lang w:val="en-US" w:eastAsia="zh-CN"/>
        </w:rPr>
        <w:t>开展林权流转工作，确保</w:t>
      </w:r>
      <w:r>
        <w:rPr>
          <w:rFonts w:hint="eastAsia" w:ascii="仿宋_GB2312" w:eastAsia="仿宋_GB2312"/>
          <w:sz w:val="32"/>
          <w:szCs w:val="32"/>
        </w:rPr>
        <w:t>群众知情权、参与权和监督权</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eastAsia="楷体_GB2312"/>
          <w:b/>
          <w:sz w:val="32"/>
          <w:szCs w:val="32"/>
        </w:rPr>
      </w:pPr>
      <w:r>
        <w:rPr>
          <w:rFonts w:hint="eastAsia" w:ascii="仿宋_GB2312" w:hAnsi="仿宋_GB2312" w:eastAsia="仿宋_GB2312" w:cs="仿宋_GB2312"/>
          <w:b/>
          <w:sz w:val="32"/>
          <w:szCs w:val="32"/>
          <w:lang w:val="en-US" w:eastAsia="zh-CN"/>
        </w:rPr>
        <w:t>3.集中连片、规模经营</w:t>
      </w:r>
      <w:r>
        <w:rPr>
          <w:rFonts w:hint="eastAsia" w:ascii="仿宋_GB2312" w:eastAsia="仿宋_GB2312"/>
          <w:sz w:val="32"/>
          <w:szCs w:val="32"/>
        </w:rPr>
        <w:t>。</w:t>
      </w:r>
      <w:r>
        <w:rPr>
          <w:rFonts w:hint="eastAsia" w:ascii="仿宋_GB2312" w:eastAsia="仿宋_GB2312"/>
          <w:sz w:val="32"/>
          <w:szCs w:val="32"/>
          <w:lang w:val="en-US" w:eastAsia="zh-CN"/>
        </w:rPr>
        <w:t>实行集约化经营，</w:t>
      </w:r>
      <w:r>
        <w:rPr>
          <w:rFonts w:hint="eastAsia" w:ascii="仿宋_GB2312" w:eastAsia="仿宋_GB2312"/>
          <w:sz w:val="32"/>
          <w:szCs w:val="32"/>
        </w:rPr>
        <w:t>按照</w:t>
      </w:r>
      <w:r>
        <w:rPr>
          <w:rFonts w:hint="eastAsia" w:ascii="仿宋_GB2312" w:eastAsia="仿宋_GB2312"/>
          <w:sz w:val="32"/>
          <w:szCs w:val="32"/>
          <w:lang w:val="en-US" w:eastAsia="zh-CN"/>
        </w:rPr>
        <w:t>项目设计方案、林地</w:t>
      </w:r>
      <w:r>
        <w:rPr>
          <w:rFonts w:hint="eastAsia" w:ascii="仿宋_GB2312" w:eastAsia="仿宋_GB2312"/>
          <w:sz w:val="32"/>
          <w:szCs w:val="32"/>
        </w:rPr>
        <w:t>流转</w:t>
      </w:r>
      <w:r>
        <w:rPr>
          <w:rFonts w:hint="eastAsia" w:ascii="仿宋_GB2312" w:eastAsia="仿宋_GB2312"/>
          <w:sz w:val="32"/>
          <w:szCs w:val="32"/>
          <w:lang w:val="en-US" w:eastAsia="zh-CN"/>
        </w:rPr>
        <w:t>和林木收储</w:t>
      </w:r>
      <w:r>
        <w:rPr>
          <w:rFonts w:hint="eastAsia" w:ascii="仿宋_GB2312" w:eastAsia="仿宋_GB2312"/>
          <w:sz w:val="32"/>
          <w:szCs w:val="32"/>
        </w:rPr>
        <w:t>计划整村推进</w:t>
      </w:r>
      <w:r>
        <w:rPr>
          <w:rFonts w:hint="eastAsia" w:ascii="仿宋_GB2312" w:eastAsia="仿宋_GB2312"/>
          <w:sz w:val="32"/>
          <w:szCs w:val="32"/>
          <w:lang w:eastAsia="zh-CN"/>
        </w:rPr>
        <w:t>，</w:t>
      </w:r>
      <w:r>
        <w:rPr>
          <w:rFonts w:hint="eastAsia" w:ascii="仿宋_GB2312" w:eastAsia="仿宋_GB2312"/>
          <w:sz w:val="32"/>
          <w:szCs w:val="32"/>
          <w:lang w:val="en-US" w:eastAsia="zh-CN"/>
        </w:rPr>
        <w:t>坚持营造林优先，有计划发展林下产业</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目标任务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以集体林权制度改革为抓手，</w:t>
      </w:r>
      <w:r>
        <w:rPr>
          <w:rFonts w:hint="eastAsia" w:ascii="仿宋_GB2312" w:eastAsia="仿宋_GB2312"/>
          <w:color w:val="000000" w:themeColor="text1"/>
          <w:sz w:val="32"/>
          <w:szCs w:val="32"/>
          <w14:textFill>
            <w14:solidFill>
              <w14:schemeClr w14:val="tx1"/>
            </w14:solidFill>
          </w14:textFill>
        </w:rPr>
        <w:t>实行集体林地所有权、承包权、经营权“三权分置”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引导</w:t>
      </w:r>
      <w:r>
        <w:rPr>
          <w:rFonts w:hint="eastAsia" w:ascii="仿宋_GB2312" w:eastAsia="仿宋_GB2312"/>
          <w:color w:val="000000" w:themeColor="text1"/>
          <w:sz w:val="32"/>
          <w:szCs w:val="32"/>
          <w:lang w:val="en-US" w:eastAsia="zh-CN"/>
          <w14:textFill>
            <w14:solidFill>
              <w14:schemeClr w14:val="tx1"/>
            </w14:solidFill>
          </w14:textFill>
        </w:rPr>
        <w:t>林</w:t>
      </w:r>
      <w:r>
        <w:rPr>
          <w:rFonts w:hint="eastAsia" w:ascii="仿宋_GB2312" w:eastAsia="仿宋_GB2312"/>
          <w:color w:val="000000" w:themeColor="text1"/>
          <w:sz w:val="32"/>
          <w:szCs w:val="32"/>
          <w14:textFill>
            <w14:solidFill>
              <w14:schemeClr w14:val="tx1"/>
            </w14:solidFill>
          </w14:textFill>
        </w:rPr>
        <w:t>农通过出租</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转包</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、入股、合作等方式流转林地经营权，采取议价收购方式收储林木，</w:t>
      </w:r>
      <w:r>
        <w:rPr>
          <w:rFonts w:hint="eastAsia" w:ascii="仿宋_GB2312" w:eastAsia="仿宋_GB2312"/>
          <w:color w:val="000000" w:themeColor="text1"/>
          <w:sz w:val="32"/>
          <w:szCs w:val="32"/>
          <w:lang w:val="en-US"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维护林农合法权益的</w:t>
      </w:r>
      <w:r>
        <w:rPr>
          <w:rFonts w:hint="default" w:ascii="仿宋_GB2312" w:eastAsia="仿宋_GB2312"/>
          <w:color w:val="000000" w:themeColor="text1"/>
          <w:sz w:val="32"/>
          <w:szCs w:val="32"/>
          <w14:textFill>
            <w14:solidFill>
              <w14:schemeClr w14:val="tx1"/>
            </w14:solidFill>
          </w14:textFill>
        </w:rPr>
        <w:t>基础上，</w:t>
      </w:r>
      <w:r>
        <w:rPr>
          <w:rFonts w:hint="eastAsia" w:ascii="仿宋_GB2312" w:eastAsia="仿宋_GB2312"/>
          <w:color w:val="000000" w:themeColor="text1"/>
          <w:sz w:val="32"/>
          <w:szCs w:val="32"/>
          <w14:textFill>
            <w14:solidFill>
              <w14:schemeClr w14:val="tx1"/>
            </w14:solidFill>
          </w14:textFill>
        </w:rPr>
        <w:t>探索建立多元化生态保护补偿机制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生态价值转换机制、利益联结机制</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保障项目建设林地、林木需求</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在项目实施过程中，因落地空间无法全额保障项目林地的，乡镇（街道）在确保实施林地总量不变的情况下，按程序在辖区行政村之间做适当调整。</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default"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（四）进度安排</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139" w:rightChars="66" w:firstLine="640" w:firstLineChars="200"/>
        <w:textAlignment w:val="auto"/>
        <w:rPr>
          <w:rFonts w:hint="default" w:ascii="楷体_GB2312" w:hAnsi="楷体_GB2312" w:eastAsia="楷体_GB2312" w:cs="楷体_GB2312"/>
          <w:b/>
          <w:bCs/>
          <w:kern w:val="2"/>
          <w:sz w:val="32"/>
          <w:szCs w:val="32"/>
          <w:lang w:val="en-US" w:eastAsia="zh-CN" w:bidi="ar-SA"/>
        </w:rPr>
      </w:pPr>
      <w:r>
        <w:rPr>
          <w:rFonts w:hint="eastAsia" w:ascii="仿宋_GB2312" w:eastAsia="仿宋_GB2312" w:cstheme="minorBidi"/>
          <w:kern w:val="2"/>
          <w:sz w:val="32"/>
          <w:szCs w:val="32"/>
          <w:lang w:val="en-US" w:eastAsia="zh-CN" w:bidi="ar-SA"/>
        </w:rPr>
        <w:t>项目公司</w:t>
      </w:r>
      <w:r>
        <w:rPr>
          <w:rFonts w:hint="eastAsia" w:ascii="仿宋_GB2312" w:eastAsia="仿宋_GB2312" w:hAnsiTheme="minorHAnsi" w:cstheme="minorBidi"/>
          <w:kern w:val="2"/>
          <w:sz w:val="32"/>
          <w:szCs w:val="32"/>
          <w:lang w:val="en-US" w:eastAsia="zh-CN" w:bidi="ar-SA"/>
        </w:rPr>
        <w:t>根据国储林项目总体实施方案和年度作业设计，于每年</w:t>
      </w:r>
      <w:r>
        <w:rPr>
          <w:rFonts w:hint="eastAsia" w:ascii="仿宋_GB2312" w:eastAsia="仿宋_GB2312" w:cstheme="minorBidi"/>
          <w:kern w:val="2"/>
          <w:sz w:val="32"/>
          <w:szCs w:val="32"/>
          <w:lang w:val="en-US" w:eastAsia="zh-CN" w:bidi="ar-SA"/>
        </w:rPr>
        <w:t>9</w:t>
      </w:r>
      <w:r>
        <w:rPr>
          <w:rFonts w:hint="eastAsia" w:ascii="仿宋_GB2312" w:eastAsia="仿宋_GB2312" w:hAnsiTheme="minorHAnsi" w:cstheme="minorBidi"/>
          <w:kern w:val="2"/>
          <w:sz w:val="32"/>
          <w:szCs w:val="32"/>
          <w:lang w:val="en-US" w:eastAsia="zh-CN" w:bidi="ar-SA"/>
        </w:rPr>
        <w:t>月底前提出次年度项目林权流转规模及范围，报</w:t>
      </w:r>
      <w:r>
        <w:rPr>
          <w:rFonts w:hint="eastAsia" w:ascii="仿宋_GB2312" w:eastAsia="仿宋_GB2312" w:cstheme="minorBidi"/>
          <w:kern w:val="2"/>
          <w:sz w:val="32"/>
          <w:szCs w:val="32"/>
          <w:lang w:val="en-US" w:eastAsia="zh-CN" w:bidi="ar-SA"/>
        </w:rPr>
        <w:t>县</w:t>
      </w:r>
      <w:r>
        <w:rPr>
          <w:rFonts w:hint="eastAsia" w:ascii="仿宋_GB2312" w:eastAsia="仿宋_GB2312" w:hAnsiTheme="minorHAnsi" w:cstheme="minorBidi"/>
          <w:kern w:val="2"/>
          <w:sz w:val="32"/>
          <w:szCs w:val="32"/>
          <w:lang w:val="en-US" w:eastAsia="zh-CN" w:bidi="ar-SA"/>
        </w:rPr>
        <w:t>国储林项目领导小组会议审议。</w:t>
      </w:r>
      <w:r>
        <w:rPr>
          <w:rFonts w:hint="eastAsia" w:ascii="仿宋_GB2312" w:eastAsia="仿宋_GB2312" w:cstheme="minorBidi"/>
          <w:kern w:val="2"/>
          <w:sz w:val="32"/>
          <w:szCs w:val="32"/>
          <w:lang w:val="en-US" w:eastAsia="zh-CN" w:bidi="ar-SA"/>
        </w:rPr>
        <w:t>县</w:t>
      </w:r>
      <w:r>
        <w:rPr>
          <w:rFonts w:hint="eastAsia" w:ascii="仿宋_GB2312" w:eastAsia="仿宋_GB2312" w:hAnsiTheme="minorHAnsi" w:cstheme="minorBidi"/>
          <w:kern w:val="2"/>
          <w:sz w:val="32"/>
          <w:szCs w:val="32"/>
          <w:lang w:val="en-US" w:eastAsia="zh-CN" w:bidi="ar-SA"/>
        </w:rPr>
        <w:t>林业局根据审议结果，于每年</w:t>
      </w:r>
      <w:r>
        <w:rPr>
          <w:rFonts w:hint="eastAsia" w:ascii="仿宋_GB2312" w:eastAsia="仿宋_GB2312" w:cstheme="minorBidi"/>
          <w:kern w:val="2"/>
          <w:sz w:val="32"/>
          <w:szCs w:val="32"/>
          <w:lang w:val="en-US" w:eastAsia="zh-CN" w:bidi="ar-SA"/>
        </w:rPr>
        <w:t>10</w:t>
      </w:r>
      <w:r>
        <w:rPr>
          <w:rFonts w:hint="eastAsia" w:ascii="仿宋_GB2312" w:eastAsia="仿宋_GB2312" w:hAnsiTheme="minorHAnsi" w:cstheme="minorBidi"/>
          <w:kern w:val="2"/>
          <w:sz w:val="32"/>
          <w:szCs w:val="32"/>
          <w:lang w:val="en-US" w:eastAsia="zh-CN" w:bidi="ar-SA"/>
        </w:rPr>
        <w:t>月将次年度项目林权流转任务下达至各乡镇（街道）。有关乡镇（街道）在年度林权流转任务下达后</w:t>
      </w:r>
      <w:r>
        <w:rPr>
          <w:rFonts w:hint="eastAsia" w:ascii="仿宋_GB2312" w:eastAsia="仿宋_GB2312" w:cstheme="minorBidi"/>
          <w:kern w:val="2"/>
          <w:sz w:val="32"/>
          <w:szCs w:val="32"/>
          <w:lang w:val="en-US" w:eastAsia="zh-CN" w:bidi="ar-SA"/>
        </w:rPr>
        <w:t>3</w:t>
      </w:r>
      <w:r>
        <w:rPr>
          <w:rFonts w:hint="eastAsia" w:ascii="仿宋_GB2312" w:eastAsia="仿宋_GB2312" w:hAnsiTheme="minorHAnsi" w:cstheme="minorBidi"/>
          <w:kern w:val="2"/>
          <w:sz w:val="32"/>
          <w:szCs w:val="32"/>
          <w:lang w:val="en-US" w:eastAsia="zh-CN" w:bidi="ar-SA"/>
        </w:rPr>
        <w:t>个月内完成林权流转工作。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eastAsia="楷体_GB2312"/>
          <w:b/>
          <w:sz w:val="32"/>
          <w:szCs w:val="32"/>
          <w:lang w:val="en-US" w:eastAsia="zh-CN"/>
        </w:rPr>
      </w:pPr>
      <w:r>
        <w:rPr>
          <w:rFonts w:hint="eastAsia" w:ascii="楷体_GB2312" w:eastAsia="楷体_GB2312"/>
          <w:b/>
          <w:sz w:val="32"/>
          <w:szCs w:val="32"/>
        </w:rPr>
        <w:t>（一</w:t>
      </w:r>
      <w:r>
        <w:rPr>
          <w:rFonts w:hint="eastAsia" w:ascii="楷体_GB2312" w:eastAsia="楷体_GB2312"/>
          <w:b/>
          <w:sz w:val="32"/>
          <w:szCs w:val="32"/>
          <w:lang w:eastAsia="zh-CN"/>
        </w:rPr>
        <w:t>）</w:t>
      </w:r>
      <w:r>
        <w:rPr>
          <w:rFonts w:hint="eastAsia" w:ascii="楷体_GB2312" w:eastAsia="楷体_GB2312"/>
          <w:b/>
          <w:sz w:val="32"/>
          <w:szCs w:val="32"/>
          <w:lang w:val="en-US" w:eastAsia="zh-CN"/>
        </w:rPr>
        <w:t>明确责任主体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eastAsia="仿宋_GB2312"/>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国储林建设实施主体</w:t>
      </w:r>
      <w:r>
        <w:rPr>
          <w:rFonts w:hint="eastAsia" w:ascii="仿宋_GB2312" w:hAnsi="仿宋_GB2312" w:eastAsia="仿宋_GB2312" w:cs="仿宋_GB2312"/>
          <w:b/>
          <w:bCs w:val="0"/>
          <w:sz w:val="32"/>
          <w:szCs w:val="32"/>
          <w:lang w:eastAsia="zh-CN"/>
        </w:rPr>
        <w:t>。</w:t>
      </w:r>
      <w:r>
        <w:rPr>
          <w:rFonts w:hint="eastAsia" w:ascii="仿宋_GB2312" w:eastAsia="仿宋_GB2312"/>
          <w:sz w:val="32"/>
          <w:szCs w:val="32"/>
        </w:rPr>
        <w:t>经南江县人民政府授权实施国储林</w:t>
      </w:r>
      <w:r>
        <w:rPr>
          <w:rFonts w:hint="eastAsia" w:ascii="仿宋_GB2312" w:eastAsia="仿宋_GB2312"/>
          <w:sz w:val="32"/>
          <w:szCs w:val="32"/>
          <w:lang w:val="en-US" w:eastAsia="zh-CN"/>
        </w:rPr>
        <w:t>建设</w:t>
      </w:r>
      <w:r>
        <w:rPr>
          <w:rFonts w:hint="eastAsia" w:ascii="仿宋_GB2312" w:eastAsia="仿宋_GB2312"/>
          <w:sz w:val="32"/>
          <w:szCs w:val="32"/>
        </w:rPr>
        <w:t>项目的国有企业为建设实施主体。建设实施主体只允许在授权项目区域内开展国储林建设和经营。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eastAsia="仿宋_GB2312"/>
          <w:sz w:val="32"/>
          <w:szCs w:val="32"/>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项目林</w:t>
      </w:r>
      <w:r>
        <w:rPr>
          <w:rFonts w:hint="eastAsia" w:ascii="仿宋_GB2312" w:hAnsi="仿宋_GB2312" w:eastAsia="仿宋_GB2312" w:cs="仿宋_GB2312"/>
          <w:b/>
          <w:bCs w:val="0"/>
          <w:sz w:val="32"/>
          <w:szCs w:val="32"/>
          <w:lang w:val="en-US" w:eastAsia="zh-CN"/>
        </w:rPr>
        <w:t>权流转</w:t>
      </w:r>
      <w:r>
        <w:rPr>
          <w:rFonts w:hint="eastAsia" w:ascii="仿宋_GB2312" w:hAnsi="仿宋_GB2312" w:eastAsia="仿宋_GB2312" w:cs="仿宋_GB2312"/>
          <w:b/>
          <w:bCs w:val="0"/>
          <w:sz w:val="32"/>
          <w:szCs w:val="32"/>
        </w:rPr>
        <w:t>主体</w:t>
      </w:r>
      <w:r>
        <w:rPr>
          <w:rFonts w:hint="eastAsia" w:ascii="仿宋_GB2312" w:hAnsi="仿宋_GB2312" w:eastAsia="仿宋_GB2312" w:cs="仿宋_GB2312"/>
          <w:b/>
          <w:bCs w:val="0"/>
          <w:sz w:val="32"/>
          <w:szCs w:val="32"/>
          <w:lang w:eastAsia="zh-CN"/>
        </w:rPr>
        <w:t>。</w:t>
      </w:r>
      <w:r>
        <w:rPr>
          <w:rFonts w:hint="eastAsia" w:ascii="仿宋_GB2312" w:eastAsia="仿宋_GB2312"/>
          <w:sz w:val="32"/>
          <w:szCs w:val="32"/>
          <w:lang w:eastAsia="zh-CN"/>
        </w:rPr>
        <w:t>村股份经济合作联合社</w:t>
      </w:r>
      <w:r>
        <w:rPr>
          <w:rFonts w:hint="eastAsia" w:ascii="仿宋_GB2312" w:eastAsia="仿宋_GB2312"/>
          <w:sz w:val="32"/>
          <w:szCs w:val="32"/>
        </w:rPr>
        <w:t>为本行政村辖区</w:t>
      </w:r>
      <w:r>
        <w:rPr>
          <w:rFonts w:hint="eastAsia" w:ascii="仿宋_GB2312" w:eastAsia="仿宋_GB2312"/>
          <w:sz w:val="32"/>
          <w:szCs w:val="32"/>
          <w:lang w:val="en-US" w:eastAsia="zh-CN"/>
        </w:rPr>
        <w:t>内</w:t>
      </w:r>
      <w:r>
        <w:rPr>
          <w:rFonts w:hint="eastAsia" w:ascii="仿宋_GB2312" w:eastAsia="仿宋_GB2312"/>
          <w:sz w:val="32"/>
          <w:szCs w:val="32"/>
        </w:rPr>
        <w:t>国储林建设项目林</w:t>
      </w:r>
      <w:r>
        <w:rPr>
          <w:rFonts w:hint="eastAsia" w:ascii="仿宋_GB2312" w:eastAsia="仿宋_GB2312"/>
          <w:sz w:val="32"/>
          <w:szCs w:val="32"/>
          <w:lang w:val="en-US" w:eastAsia="zh-CN"/>
        </w:rPr>
        <w:t>权流转</w:t>
      </w:r>
      <w:r>
        <w:rPr>
          <w:rFonts w:hint="eastAsia" w:ascii="仿宋_GB2312" w:eastAsia="仿宋_GB2312"/>
          <w:sz w:val="32"/>
          <w:szCs w:val="32"/>
        </w:rPr>
        <w:t>主体</w:t>
      </w:r>
      <w:r>
        <w:rPr>
          <w:rFonts w:hint="eastAsia" w:ascii="仿宋_GB2312" w:eastAsia="仿宋_GB2312"/>
          <w:sz w:val="32"/>
          <w:szCs w:val="32"/>
          <w:lang w:eastAsia="zh-CN"/>
        </w:rPr>
        <w:t>，</w:t>
      </w:r>
      <w:r>
        <w:rPr>
          <w:rFonts w:hint="eastAsia" w:ascii="仿宋_GB2312" w:eastAsia="仿宋_GB2312"/>
          <w:sz w:val="32"/>
          <w:szCs w:val="32"/>
          <w:lang w:val="en-US" w:eastAsia="zh-CN"/>
        </w:rPr>
        <w:t>负责将符合条件的农户林权流转至</w:t>
      </w:r>
      <w:r>
        <w:rPr>
          <w:rFonts w:hint="eastAsia" w:ascii="仿宋_GB2312" w:eastAsia="仿宋_GB2312"/>
          <w:sz w:val="32"/>
          <w:szCs w:val="32"/>
          <w:lang w:eastAsia="zh-CN"/>
        </w:rPr>
        <w:t>村股份经济合作联合社</w:t>
      </w:r>
      <w:r>
        <w:rPr>
          <w:rFonts w:hint="eastAsia" w:ascii="仿宋_GB2312" w:eastAsia="仿宋_GB2312"/>
          <w:sz w:val="32"/>
          <w:szCs w:val="32"/>
          <w:lang w:val="en-US" w:eastAsia="zh-CN"/>
        </w:rPr>
        <w:t>，并按程序统一出租（转包）、入股、转让、合作</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lang w:eastAsia="zh-CN"/>
        </w:rPr>
        <w:t>（</w:t>
      </w:r>
      <w:r>
        <w:rPr>
          <w:rFonts w:hint="eastAsia" w:ascii="楷体_GB2312" w:eastAsia="楷体_GB2312"/>
          <w:b/>
          <w:sz w:val="32"/>
          <w:szCs w:val="32"/>
          <w:lang w:val="en-US" w:eastAsia="zh-CN"/>
        </w:rPr>
        <w:t>二</w:t>
      </w:r>
      <w:r>
        <w:rPr>
          <w:rFonts w:hint="eastAsia" w:ascii="楷体_GB2312" w:eastAsia="楷体_GB2312"/>
          <w:b/>
          <w:sz w:val="32"/>
          <w:szCs w:val="32"/>
          <w:lang w:eastAsia="zh-CN"/>
        </w:rPr>
        <w:t>）</w:t>
      </w:r>
      <w:r>
        <w:rPr>
          <w:rFonts w:hint="eastAsia" w:ascii="楷体_GB2312" w:eastAsia="楷体_GB2312"/>
          <w:b/>
          <w:sz w:val="32"/>
          <w:szCs w:val="32"/>
          <w:lang w:val="en-US" w:eastAsia="zh-CN"/>
        </w:rPr>
        <w:t>林权流转</w:t>
      </w:r>
      <w:r>
        <w:rPr>
          <w:rFonts w:hint="eastAsia" w:ascii="楷体_GB2312" w:eastAsia="楷体_GB2312"/>
          <w:b/>
          <w:sz w:val="32"/>
          <w:szCs w:val="32"/>
        </w:rPr>
        <w:t>对象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集体林权流转是指在不改变林地所有权及林地用途的前提下，林权权利人将其拥有的集体林地经营权（包括集体统一经营管理的林地）、林木所有权、林木使用权依法全部或部分转移给其他公民、法人和组织的行为（即林地经营权、林木所有权和使用权可以分别流转）。项目村林权流转</w:t>
      </w:r>
      <w:r>
        <w:rPr>
          <w:rFonts w:hint="eastAsia" w:ascii="仿宋_GB2312" w:eastAsia="仿宋_GB2312"/>
          <w:sz w:val="32"/>
          <w:szCs w:val="32"/>
        </w:rPr>
        <w:t>对象</w:t>
      </w:r>
      <w:r>
        <w:rPr>
          <w:rFonts w:hint="eastAsia" w:ascii="仿宋_GB2312" w:eastAsia="仿宋_GB2312"/>
          <w:sz w:val="32"/>
          <w:szCs w:val="32"/>
          <w:lang w:val="en-US" w:eastAsia="zh-CN"/>
        </w:rPr>
        <w:t>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1.集体统一经营管理的林地使用权</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2.依法确权给个人的集体林地使用权</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0" w:firstLineChars="200"/>
        <w:textAlignment w:val="auto"/>
        <w:rPr>
          <w:rFonts w:hint="eastAsia" w:ascii="仿宋_GB2312" w:eastAsia="仿宋_GB2312"/>
          <w:sz w:val="32"/>
          <w:szCs w:val="32"/>
        </w:rPr>
      </w:pPr>
      <w:r>
        <w:rPr>
          <w:rFonts w:hint="eastAsia" w:ascii="仿宋_GB2312" w:eastAsia="仿宋_GB2312"/>
          <w:sz w:val="32"/>
          <w:szCs w:val="32"/>
        </w:rPr>
        <w:t>3.依法确权或流转到除本村集体经济组织外的组织和个人的林地使用权</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4.集体统一经营管理的林木所有权、使用权</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5.个人的林木所有权和使用权</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eastAsia="仿宋_GB2312"/>
          <w:spacing w:val="-10"/>
          <w:sz w:val="32"/>
          <w:szCs w:val="32"/>
        </w:rPr>
      </w:pPr>
      <w:r>
        <w:rPr>
          <w:rFonts w:hint="eastAsia" w:ascii="仿宋_GB2312" w:eastAsia="仿宋_GB2312"/>
          <w:spacing w:val="-10"/>
          <w:sz w:val="32"/>
          <w:szCs w:val="32"/>
        </w:rPr>
        <w:t>6.除本村集体经济组织外的组织和个人的林木所有权、使用权。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权属不清或有争议、应取得而未依法取得林权证或不动产权证、未依法取得抵押权人或共有权人同意、被司法机关查封冻结等情况下的林权不得流转。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eastAsia="楷体_GB2312"/>
          <w:b/>
          <w:sz w:val="32"/>
          <w:szCs w:val="32"/>
          <w:lang w:val="en-US" w:eastAsia="zh-CN"/>
        </w:rPr>
      </w:pPr>
      <w:r>
        <w:rPr>
          <w:rFonts w:hint="eastAsia" w:ascii="楷体_GB2312" w:eastAsia="楷体_GB2312"/>
          <w:b/>
          <w:sz w:val="32"/>
          <w:szCs w:val="32"/>
          <w:lang w:val="en-US" w:eastAsia="zh-CN"/>
        </w:rPr>
        <w:t>（三）林权流转方式</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6" w:firstLineChars="200"/>
        <w:textAlignment w:val="auto"/>
        <w:rPr>
          <w:rFonts w:hint="eastAsia" w:ascii="仿宋_GB2312" w:eastAsia="仿宋_GB2312" w:cstheme="minorBidi"/>
          <w:spacing w:val="-6"/>
          <w:kern w:val="2"/>
          <w:sz w:val="32"/>
          <w:szCs w:val="32"/>
          <w:lang w:val="en-US" w:eastAsia="zh-CN" w:bidi="ar-SA"/>
        </w:rPr>
      </w:pPr>
      <w:r>
        <w:rPr>
          <w:rFonts w:hint="eastAsia" w:ascii="仿宋_GB2312" w:eastAsia="仿宋_GB2312" w:cstheme="minorBidi"/>
          <w:spacing w:val="-6"/>
          <w:kern w:val="2"/>
          <w:sz w:val="32"/>
          <w:szCs w:val="32"/>
          <w:lang w:val="en-US" w:eastAsia="zh-CN" w:bidi="ar-SA"/>
        </w:rPr>
        <w:t>出租（转包）、入股、转让、合作及法律法规允许的其他方式。</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eastAsia" w:ascii="楷体_GB2312" w:eastAsia="楷体_GB2312"/>
          <w:b/>
          <w:sz w:val="32"/>
          <w:szCs w:val="32"/>
          <w:lang w:val="en-US" w:eastAsia="zh-CN"/>
        </w:rPr>
      </w:pPr>
      <w:r>
        <w:rPr>
          <w:rFonts w:hint="eastAsia" w:ascii="楷体_GB2312" w:eastAsia="楷体_GB2312"/>
          <w:b/>
          <w:sz w:val="32"/>
          <w:szCs w:val="32"/>
          <w:lang w:val="en-US" w:eastAsia="zh-CN"/>
        </w:rPr>
        <w:t>（四）林权流转程序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lang w:val="en-US" w:eastAsia="zh-CN"/>
        </w:rPr>
        <w:t>1.</w:t>
      </w:r>
      <w:r>
        <w:rPr>
          <w:rFonts w:hint="eastAsia" w:ascii="仿宋_GB2312" w:eastAsia="仿宋_GB2312"/>
          <w:sz w:val="32"/>
          <w:szCs w:val="32"/>
          <w:lang w:val="en-US" w:eastAsia="zh-CN"/>
        </w:rPr>
        <w:t>项目公司拟制林权流转方案和年度流转计划，经县国储林建设项目专班初审和项目公司董事会同意，报县国储林工作领导小组审定</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eastAsia="仿宋_GB2312"/>
          <w:sz w:val="32"/>
          <w:szCs w:val="32"/>
          <w:lang w:val="en-US" w:eastAsia="zh-CN"/>
        </w:rPr>
      </w:pPr>
      <w:r>
        <w:rPr>
          <w:rFonts w:hint="eastAsia" w:ascii="楷体_GB2312" w:eastAsia="楷体_GB2312"/>
          <w:b/>
          <w:sz w:val="32"/>
          <w:szCs w:val="32"/>
          <w:lang w:val="en-US" w:eastAsia="zh-CN"/>
        </w:rPr>
        <w:t>2.</w:t>
      </w:r>
      <w:r>
        <w:rPr>
          <w:rFonts w:hint="eastAsia" w:ascii="仿宋_GB2312" w:eastAsia="仿宋_GB2312"/>
          <w:sz w:val="32"/>
          <w:szCs w:val="32"/>
          <w:lang w:val="en-US" w:eastAsia="zh-CN"/>
        </w:rPr>
        <w:t>项目乡镇（街道）按县核定的林权流转总任务、总费用和年度计划，在县国储林项目建设专班指导下，分村开展宣传动员、资源调查、林权人流转意向摸底等工作，根据林地（林木）质量等级实行分级议价，形成项目村林权流转方案（以表格形式，反映出流转对象是个人或集体、流转面积、流转年限、流转方式是林权入股还是现金支付等内容即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eastAsia="仿宋_GB2312"/>
          <w:sz w:val="32"/>
          <w:szCs w:val="32"/>
          <w:lang w:val="en-US" w:eastAsia="zh-CN"/>
        </w:rPr>
      </w:pPr>
      <w:r>
        <w:rPr>
          <w:rFonts w:hint="eastAsia" w:ascii="楷体_GB2312" w:eastAsia="楷体_GB2312"/>
          <w:b/>
          <w:sz w:val="32"/>
          <w:szCs w:val="32"/>
          <w:lang w:val="en-US" w:eastAsia="zh-CN"/>
        </w:rPr>
        <w:t>3.</w:t>
      </w:r>
      <w:r>
        <w:rPr>
          <w:rFonts w:hint="eastAsia" w:ascii="仿宋_GB2312" w:eastAsia="仿宋_GB2312"/>
          <w:sz w:val="32"/>
          <w:szCs w:val="32"/>
        </w:rPr>
        <w:t>项目村召开</w:t>
      </w:r>
      <w:r>
        <w:rPr>
          <w:rFonts w:hint="eastAsia" w:ascii="仿宋_GB2312" w:eastAsia="仿宋_GB2312"/>
          <w:sz w:val="32"/>
          <w:szCs w:val="32"/>
          <w:lang w:eastAsia="zh-CN"/>
        </w:rPr>
        <w:t>村股份经济合作联合社</w:t>
      </w:r>
      <w:r>
        <w:rPr>
          <w:rFonts w:hint="eastAsia" w:ascii="仿宋_GB2312" w:eastAsia="仿宋_GB2312"/>
          <w:sz w:val="32"/>
          <w:szCs w:val="32"/>
          <w:lang w:val="en-US" w:eastAsia="zh-CN"/>
        </w:rPr>
        <w:t>社员大会</w:t>
      </w:r>
      <w:r>
        <w:rPr>
          <w:rFonts w:hint="eastAsia" w:ascii="仿宋_GB2312" w:eastAsia="仿宋_GB2312"/>
          <w:color w:val="000000" w:themeColor="text1"/>
          <w:sz w:val="32"/>
          <w:szCs w:val="32"/>
          <w:lang w:val="en-US" w:eastAsia="zh-CN"/>
          <w14:textFill>
            <w14:solidFill>
              <w14:schemeClr w14:val="tx1"/>
            </w14:solidFill>
          </w14:textFill>
        </w:rPr>
        <w:t>（或社员代表大会，不少于三分之二以上成员参加）</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讨论确定林权流转方案（参会成员三分之二以上同意，会议记录上签字确认），</w:t>
      </w:r>
      <w:r>
        <w:rPr>
          <w:rFonts w:hint="eastAsia" w:ascii="仿宋_GB2312" w:eastAsia="仿宋_GB2312"/>
          <w:sz w:val="32"/>
          <w:szCs w:val="32"/>
        </w:rPr>
        <w:t>表决通过林</w:t>
      </w:r>
      <w:r>
        <w:rPr>
          <w:rFonts w:hint="eastAsia" w:ascii="仿宋_GB2312" w:eastAsia="仿宋_GB2312"/>
          <w:sz w:val="32"/>
          <w:szCs w:val="32"/>
          <w:lang w:val="en-US" w:eastAsia="zh-CN"/>
        </w:rPr>
        <w:t>权</w:t>
      </w:r>
      <w:r>
        <w:rPr>
          <w:rFonts w:hint="eastAsia" w:ascii="仿宋_GB2312" w:eastAsia="仿宋_GB2312"/>
          <w:sz w:val="32"/>
          <w:szCs w:val="32"/>
        </w:rPr>
        <w:t>流转决议，林权所有人签订</w:t>
      </w:r>
      <w:r>
        <w:rPr>
          <w:rFonts w:hint="eastAsia" w:ascii="仿宋_GB2312" w:eastAsia="仿宋_GB2312"/>
          <w:sz w:val="32"/>
          <w:szCs w:val="32"/>
          <w:u w:val="none"/>
          <w:lang w:val="en-US" w:eastAsia="zh-CN"/>
        </w:rPr>
        <w:t>林权经营</w:t>
      </w:r>
      <w:r>
        <w:rPr>
          <w:rFonts w:hint="eastAsia" w:ascii="仿宋_GB2312" w:eastAsia="仿宋_GB2312"/>
          <w:sz w:val="32"/>
          <w:szCs w:val="32"/>
          <w:lang w:val="en-US" w:eastAsia="zh-CN"/>
        </w:rPr>
        <w:t>委托协议，授权</w:t>
      </w:r>
      <w:r>
        <w:rPr>
          <w:rFonts w:hint="eastAsia" w:ascii="仿宋_GB2312" w:eastAsia="仿宋_GB2312"/>
          <w:sz w:val="32"/>
          <w:szCs w:val="32"/>
          <w:lang w:eastAsia="zh-CN"/>
        </w:rPr>
        <w:t>村股份经济合作联合社</w:t>
      </w:r>
      <w:r>
        <w:rPr>
          <w:rFonts w:hint="eastAsia" w:ascii="仿宋_GB2312" w:eastAsia="仿宋_GB2312"/>
          <w:sz w:val="32"/>
          <w:szCs w:val="32"/>
          <w:lang w:val="en-US" w:eastAsia="zh-CN"/>
        </w:rPr>
        <w:t>代为办理</w:t>
      </w:r>
      <w:r>
        <w:rPr>
          <w:rFonts w:hint="eastAsia" w:ascii="仿宋_GB2312" w:eastAsia="仿宋_GB2312"/>
          <w:sz w:val="32"/>
          <w:szCs w:val="32"/>
          <w:u w:val="none"/>
          <w:lang w:val="en-US" w:eastAsia="zh-CN"/>
        </w:rPr>
        <w:t>林权经营</w:t>
      </w:r>
      <w:r>
        <w:rPr>
          <w:rFonts w:hint="eastAsia" w:ascii="仿宋_GB2312" w:eastAsia="仿宋_GB2312"/>
          <w:sz w:val="32"/>
          <w:szCs w:val="32"/>
          <w:lang w:val="en-US" w:eastAsia="zh-CN"/>
        </w:rPr>
        <w:t>相关事宜。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lang w:val="en-US" w:eastAsia="zh-CN"/>
        </w:rPr>
        <w:t>4.</w:t>
      </w:r>
      <w:r>
        <w:rPr>
          <w:rFonts w:hint="eastAsia" w:ascii="仿宋_GB2312" w:eastAsia="仿宋_GB2312"/>
          <w:sz w:val="32"/>
          <w:szCs w:val="32"/>
          <w:lang w:val="en-US" w:eastAsia="zh-CN"/>
        </w:rPr>
        <w:t>开展林权权籍调查。由县不动产登记中心指导，各项目乡镇（街道）具体负责，以宗地为单位，以村、组为单元逐级统计，镇村干部、林地（林木）权属单位和个人、林权边界权利人、林权勘界技术人员现场调查核实有流转意向的林地相关情况，核查林地坐落、界址、四至界限、投影面积、用途等自然状况，以及林地权利的主体、类型、期限、权利变化等情况，形成权籍调查分户台账，并将权属调查结果在村委会进行公示（公示时间不少于7个自然日）。</w:t>
      </w:r>
      <w:r>
        <w:rPr>
          <w:rFonts w:hint="eastAsia" w:ascii="仿宋_GB2312" w:eastAsia="仿宋_GB2312"/>
          <w:sz w:val="32"/>
          <w:szCs w:val="32"/>
        </w:rPr>
        <w:t>无异议后报县林业主管部门出具同意林权流转备案书。</w:t>
      </w:r>
      <w:r>
        <w:rPr>
          <w:rFonts w:hint="eastAsia" w:ascii="仿宋_GB2312" w:eastAsia="仿宋_GB2312"/>
          <w:sz w:val="32"/>
          <w:szCs w:val="32"/>
          <w:lang w:eastAsia="zh-CN"/>
        </w:rPr>
        <w:t>村股份经济合作联合社</w:t>
      </w:r>
      <w:r>
        <w:rPr>
          <w:rFonts w:hint="eastAsia" w:ascii="仿宋_GB2312" w:eastAsia="仿宋_GB2312"/>
          <w:sz w:val="32"/>
          <w:szCs w:val="32"/>
        </w:rPr>
        <w:t>依据林权流转备案书与储备林项目</w:t>
      </w:r>
      <w:r>
        <w:rPr>
          <w:rFonts w:hint="eastAsia" w:ascii="仿宋_GB2312" w:eastAsia="仿宋_GB2312"/>
          <w:sz w:val="32"/>
          <w:szCs w:val="32"/>
          <w:lang w:val="en-US" w:eastAsia="zh-CN"/>
        </w:rPr>
        <w:t>公司</w:t>
      </w:r>
      <w:r>
        <w:rPr>
          <w:rFonts w:hint="eastAsia" w:ascii="仿宋_GB2312" w:eastAsia="仿宋_GB2312"/>
          <w:sz w:val="32"/>
          <w:szCs w:val="32"/>
        </w:rPr>
        <w:t>签订流转</w:t>
      </w:r>
      <w:r>
        <w:rPr>
          <w:rFonts w:hint="eastAsia" w:ascii="仿宋_GB2312" w:eastAsia="仿宋_GB2312"/>
          <w:sz w:val="32"/>
          <w:szCs w:val="32"/>
          <w:lang w:val="en-US" w:eastAsia="zh-CN"/>
        </w:rPr>
        <w:t>合同</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27" w:firstLineChars="200"/>
        <w:textAlignment w:val="auto"/>
        <w:rPr>
          <w:rFonts w:hint="default" w:ascii="仿宋_GB2312" w:eastAsia="楷体_GB2312"/>
          <w:spacing w:val="-4"/>
          <w:sz w:val="32"/>
          <w:szCs w:val="32"/>
          <w:lang w:val="en-US" w:eastAsia="zh-CN"/>
        </w:rPr>
      </w:pPr>
      <w:r>
        <w:rPr>
          <w:rFonts w:hint="eastAsia" w:ascii="楷体_GB2312" w:eastAsia="楷体_GB2312"/>
          <w:b/>
          <w:spacing w:val="-4"/>
          <w:sz w:val="32"/>
          <w:szCs w:val="32"/>
          <w:lang w:val="en-US" w:eastAsia="zh-CN"/>
        </w:rPr>
        <w:t>5.</w:t>
      </w:r>
      <w:r>
        <w:rPr>
          <w:rFonts w:hint="eastAsia" w:ascii="仿宋_GB2312" w:eastAsia="仿宋_GB2312"/>
          <w:spacing w:val="-4"/>
          <w:sz w:val="32"/>
          <w:szCs w:val="32"/>
          <w:lang w:val="en-US" w:eastAsia="zh-CN"/>
        </w:rPr>
        <w:t>签订林权流转合同。项目公司建设项目所需林地、林木应通过市场化运作，向各村</w:t>
      </w:r>
      <w:r>
        <w:rPr>
          <w:rFonts w:hint="eastAsia" w:ascii="仿宋_GB2312" w:eastAsia="仿宋_GB2312"/>
          <w:sz w:val="32"/>
          <w:szCs w:val="32"/>
          <w:lang w:eastAsia="zh-CN"/>
        </w:rPr>
        <w:t>股份经济合作联合社</w:t>
      </w:r>
      <w:r>
        <w:rPr>
          <w:rFonts w:hint="eastAsia" w:ascii="仿宋_GB2312" w:eastAsia="仿宋_GB2312"/>
          <w:spacing w:val="-4"/>
          <w:sz w:val="32"/>
          <w:szCs w:val="32"/>
          <w:lang w:val="en-US" w:eastAsia="zh-CN"/>
        </w:rPr>
        <w:t>流转林权。林权流出方签约主体根据以下情况确定：</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对以家庭为单位承包经营的林权未流转的，要充分发挥</w:t>
      </w:r>
      <w:r>
        <w:rPr>
          <w:rFonts w:hint="eastAsia" w:ascii="仿宋_GB2312" w:eastAsia="仿宋_GB2312"/>
          <w:sz w:val="32"/>
          <w:szCs w:val="32"/>
          <w:lang w:eastAsia="zh-CN"/>
        </w:rPr>
        <w:t>村股份经济合作联合社</w:t>
      </w:r>
      <w:r>
        <w:rPr>
          <w:rFonts w:hint="eastAsia" w:ascii="仿宋_GB2312" w:eastAsia="仿宋_GB2312"/>
          <w:sz w:val="32"/>
          <w:szCs w:val="32"/>
        </w:rPr>
        <w:t>在农户中的沟通协调优势，组织农户将林地经营权、林木所有权和使用权以合作、出租</w:t>
      </w:r>
      <w:r>
        <w:rPr>
          <w:rFonts w:hint="eastAsia" w:ascii="仿宋_GB2312" w:eastAsia="仿宋_GB2312"/>
          <w:sz w:val="32"/>
          <w:szCs w:val="32"/>
          <w:lang w:eastAsia="zh-CN"/>
        </w:rPr>
        <w:t>（</w:t>
      </w:r>
      <w:r>
        <w:rPr>
          <w:rFonts w:hint="eastAsia" w:ascii="仿宋_GB2312" w:eastAsia="仿宋_GB2312"/>
          <w:sz w:val="32"/>
          <w:szCs w:val="32"/>
        </w:rPr>
        <w:t>转包</w:t>
      </w:r>
      <w:r>
        <w:rPr>
          <w:rFonts w:hint="eastAsia" w:ascii="仿宋_GB2312" w:eastAsia="仿宋_GB2312"/>
          <w:sz w:val="32"/>
          <w:szCs w:val="32"/>
          <w:lang w:eastAsia="zh-CN"/>
        </w:rPr>
        <w:t>）</w:t>
      </w:r>
      <w:r>
        <w:rPr>
          <w:rFonts w:hint="eastAsia" w:ascii="仿宋_GB2312" w:eastAsia="仿宋_GB2312"/>
          <w:sz w:val="32"/>
          <w:szCs w:val="32"/>
        </w:rPr>
        <w:t>或入股的方式，流转至</w:t>
      </w:r>
      <w:r>
        <w:rPr>
          <w:rFonts w:hint="eastAsia" w:ascii="仿宋_GB2312" w:eastAsia="仿宋_GB2312"/>
          <w:sz w:val="32"/>
          <w:szCs w:val="32"/>
          <w:lang w:eastAsia="zh-CN"/>
        </w:rPr>
        <w:t>村股份经济合作联合社，</w:t>
      </w:r>
      <w:r>
        <w:rPr>
          <w:rFonts w:hint="eastAsia" w:ascii="仿宋_GB2312" w:eastAsia="仿宋_GB2312"/>
          <w:sz w:val="32"/>
          <w:szCs w:val="32"/>
        </w:rPr>
        <w:t>并书面同意</w:t>
      </w:r>
      <w:r>
        <w:rPr>
          <w:rFonts w:hint="eastAsia" w:ascii="仿宋_GB2312" w:eastAsia="仿宋_GB2312"/>
          <w:sz w:val="32"/>
          <w:szCs w:val="32"/>
          <w:lang w:eastAsia="zh-CN"/>
        </w:rPr>
        <w:t>村股份经济合作联合社</w:t>
      </w:r>
      <w:r>
        <w:rPr>
          <w:rFonts w:hint="eastAsia" w:ascii="仿宋_GB2312" w:eastAsia="仿宋_GB2312"/>
          <w:sz w:val="32"/>
          <w:szCs w:val="32"/>
        </w:rPr>
        <w:t>出租</w:t>
      </w:r>
      <w:r>
        <w:rPr>
          <w:rFonts w:hint="eastAsia" w:ascii="仿宋_GB2312" w:eastAsia="仿宋_GB2312"/>
          <w:sz w:val="32"/>
          <w:szCs w:val="32"/>
          <w:lang w:eastAsia="zh-CN"/>
        </w:rPr>
        <w:t>（</w:t>
      </w:r>
      <w:r>
        <w:rPr>
          <w:rFonts w:hint="eastAsia" w:ascii="仿宋_GB2312" w:eastAsia="仿宋_GB2312"/>
          <w:sz w:val="32"/>
          <w:szCs w:val="32"/>
        </w:rPr>
        <w:t>转包</w:t>
      </w:r>
      <w:r>
        <w:rPr>
          <w:rFonts w:hint="eastAsia" w:ascii="仿宋_GB2312" w:eastAsia="仿宋_GB2312"/>
          <w:sz w:val="32"/>
          <w:szCs w:val="32"/>
          <w:lang w:eastAsia="zh-CN"/>
        </w:rPr>
        <w:t>）</w:t>
      </w:r>
      <w:r>
        <w:rPr>
          <w:rFonts w:hint="eastAsia" w:ascii="仿宋_GB2312" w:eastAsia="仿宋_GB2312"/>
          <w:sz w:val="32"/>
          <w:szCs w:val="32"/>
        </w:rPr>
        <w:t>至第三方</w:t>
      </w:r>
      <w:r>
        <w:rPr>
          <w:rFonts w:hint="eastAsia" w:ascii="仿宋_GB2312" w:eastAsia="仿宋_GB2312"/>
          <w:sz w:val="32"/>
          <w:szCs w:val="32"/>
          <w:lang w:eastAsia="zh-CN"/>
        </w:rPr>
        <w:t>。</w:t>
      </w:r>
      <w:r>
        <w:rPr>
          <w:rFonts w:hint="eastAsia" w:ascii="仿宋_GB2312" w:eastAsia="仿宋_GB2312"/>
          <w:sz w:val="32"/>
          <w:szCs w:val="32"/>
          <w:lang w:val="en-US" w:eastAsia="zh-CN"/>
        </w:rPr>
        <w:t>再由</w:t>
      </w:r>
      <w:r>
        <w:rPr>
          <w:rFonts w:hint="eastAsia" w:ascii="仿宋_GB2312" w:eastAsia="仿宋_GB2312"/>
          <w:sz w:val="32"/>
          <w:szCs w:val="32"/>
          <w:lang w:eastAsia="zh-CN"/>
        </w:rPr>
        <w:t>村股份经济合作联合社</w:t>
      </w:r>
      <w:r>
        <w:rPr>
          <w:rFonts w:hint="eastAsia" w:ascii="仿宋_GB2312" w:eastAsia="仿宋_GB2312"/>
          <w:sz w:val="32"/>
          <w:szCs w:val="32"/>
        </w:rPr>
        <w:t>将林地经营权、林木所有权和使用权</w:t>
      </w:r>
      <w:r>
        <w:rPr>
          <w:rFonts w:hint="eastAsia" w:ascii="仿宋_GB2312" w:eastAsia="仿宋_GB2312"/>
          <w:sz w:val="32"/>
          <w:szCs w:val="32"/>
          <w:lang w:val="en-US" w:eastAsia="zh-CN"/>
        </w:rPr>
        <w:t>集中</w:t>
      </w:r>
      <w:r>
        <w:rPr>
          <w:rFonts w:hint="eastAsia" w:ascii="仿宋_GB2312" w:eastAsia="仿宋_GB2312"/>
          <w:sz w:val="32"/>
          <w:szCs w:val="32"/>
        </w:rPr>
        <w:t>出租</w:t>
      </w:r>
      <w:r>
        <w:rPr>
          <w:rFonts w:hint="eastAsia" w:ascii="仿宋_GB2312" w:eastAsia="仿宋_GB2312"/>
          <w:sz w:val="32"/>
          <w:szCs w:val="32"/>
          <w:lang w:eastAsia="zh-CN"/>
        </w:rPr>
        <w:t>（</w:t>
      </w:r>
      <w:r>
        <w:rPr>
          <w:rFonts w:hint="eastAsia" w:ascii="仿宋_GB2312" w:eastAsia="仿宋_GB2312"/>
          <w:sz w:val="32"/>
          <w:szCs w:val="32"/>
        </w:rPr>
        <w:t>转包</w:t>
      </w:r>
      <w:r>
        <w:rPr>
          <w:rFonts w:hint="eastAsia" w:ascii="仿宋_GB2312" w:eastAsia="仿宋_GB2312"/>
          <w:sz w:val="32"/>
          <w:szCs w:val="32"/>
          <w:lang w:eastAsia="zh-CN"/>
        </w:rPr>
        <w:t>）</w:t>
      </w:r>
      <w:r>
        <w:rPr>
          <w:rFonts w:hint="eastAsia" w:ascii="仿宋_GB2312" w:eastAsia="仿宋_GB2312"/>
          <w:sz w:val="32"/>
          <w:szCs w:val="32"/>
        </w:rPr>
        <w:t>至项目公司。</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对以家庭为单位承包经营的林权已流转的，在核实流出方依法享有林地经营权、林木所有权和使用权</w:t>
      </w:r>
      <w:r>
        <w:rPr>
          <w:rFonts w:hint="eastAsia" w:ascii="仿宋_GB2312" w:eastAsia="仿宋_GB2312"/>
          <w:sz w:val="32"/>
          <w:szCs w:val="32"/>
          <w:lang w:eastAsia="zh-CN"/>
        </w:rPr>
        <w:t>，</w:t>
      </w:r>
      <w:r>
        <w:rPr>
          <w:rFonts w:hint="eastAsia" w:ascii="仿宋_GB2312" w:eastAsia="仿宋_GB2312"/>
          <w:sz w:val="32"/>
          <w:szCs w:val="32"/>
        </w:rPr>
        <w:t>且无权利限制，经</w:t>
      </w:r>
      <w:r>
        <w:rPr>
          <w:rFonts w:hint="eastAsia" w:ascii="仿宋_GB2312" w:eastAsia="仿宋_GB2312"/>
          <w:sz w:val="32"/>
          <w:szCs w:val="32"/>
          <w:lang w:val="en-US" w:eastAsia="zh-CN"/>
        </w:rPr>
        <w:t>林地经营权人</w:t>
      </w:r>
      <w:r>
        <w:rPr>
          <w:rFonts w:hint="eastAsia" w:ascii="仿宋_GB2312" w:eastAsia="仿宋_GB2312"/>
          <w:sz w:val="32"/>
          <w:szCs w:val="32"/>
        </w:rPr>
        <w:t>书面同意并向发包方备案后，可再次</w:t>
      </w:r>
      <w:r>
        <w:rPr>
          <w:rFonts w:hint="eastAsia" w:ascii="仿宋_GB2312" w:eastAsia="仿宋_GB2312"/>
          <w:sz w:val="32"/>
          <w:szCs w:val="32"/>
          <w:lang w:val="en-US" w:eastAsia="zh-CN"/>
        </w:rPr>
        <w:t>经</w:t>
      </w:r>
      <w:r>
        <w:rPr>
          <w:rFonts w:hint="eastAsia" w:ascii="仿宋_GB2312" w:eastAsia="仿宋_GB2312"/>
          <w:sz w:val="32"/>
          <w:szCs w:val="32"/>
        </w:rPr>
        <w:t>村</w:t>
      </w:r>
      <w:r>
        <w:rPr>
          <w:rFonts w:hint="eastAsia" w:ascii="仿宋_GB2312" w:eastAsia="仿宋_GB2312"/>
          <w:sz w:val="32"/>
          <w:szCs w:val="32"/>
          <w:lang w:eastAsia="zh-CN"/>
        </w:rPr>
        <w:t>股份经济合作联合社</w:t>
      </w:r>
      <w:r>
        <w:rPr>
          <w:rFonts w:hint="eastAsia" w:ascii="仿宋_GB2312" w:eastAsia="仿宋_GB2312"/>
          <w:sz w:val="32"/>
          <w:szCs w:val="32"/>
        </w:rPr>
        <w:t>流转至项目公司。</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对集体统一经营的森林、林木、林地流转给本集体经济组织以外的单位和个人，</w:t>
      </w:r>
      <w:r>
        <w:rPr>
          <w:rFonts w:hint="eastAsia" w:ascii="仿宋_GB2312" w:eastAsia="仿宋_GB2312"/>
          <w:sz w:val="32"/>
          <w:szCs w:val="32"/>
          <w:lang w:val="en-US" w:eastAsia="zh-CN"/>
        </w:rPr>
        <w:t>应将</w:t>
      </w:r>
      <w:r>
        <w:rPr>
          <w:rFonts w:hint="eastAsia" w:ascii="仿宋_GB2312" w:eastAsia="仿宋_GB2312"/>
          <w:sz w:val="32"/>
          <w:szCs w:val="32"/>
        </w:rPr>
        <w:t>流转方式、流转面积、四至界限、流转价格等应当提前30日在本集体经济组织内公示，并经本集体经济组织成员的村民会议三分之二以上成员或者三分之二以上村民代表的同意</w:t>
      </w:r>
      <w:r>
        <w:rPr>
          <w:rFonts w:hint="eastAsia" w:ascii="仿宋_GB2312" w:eastAsia="仿宋_GB2312"/>
          <w:sz w:val="32"/>
          <w:szCs w:val="32"/>
          <w:lang w:eastAsia="zh-CN"/>
        </w:rPr>
        <w:t>。</w:t>
      </w:r>
      <w:r>
        <w:rPr>
          <w:rFonts w:hint="eastAsia" w:ascii="仿宋_GB2312" w:eastAsia="仿宋_GB2312"/>
          <w:sz w:val="32"/>
          <w:szCs w:val="32"/>
          <w:lang w:val="en-US" w:eastAsia="zh-CN"/>
        </w:rPr>
        <w:t>签订合同前，应当先</w:t>
      </w:r>
      <w:r>
        <w:rPr>
          <w:rFonts w:hint="eastAsia" w:ascii="仿宋_GB2312" w:eastAsia="仿宋_GB2312"/>
          <w:sz w:val="32"/>
          <w:szCs w:val="32"/>
        </w:rPr>
        <w:t>报</w:t>
      </w:r>
      <w:r>
        <w:rPr>
          <w:rFonts w:hint="eastAsia" w:ascii="仿宋_GB2312" w:eastAsia="仿宋_GB2312"/>
          <w:sz w:val="32"/>
          <w:szCs w:val="32"/>
          <w:lang w:eastAsia="zh-CN"/>
        </w:rPr>
        <w:t>乡镇（街道）</w:t>
      </w:r>
      <w:r>
        <w:rPr>
          <w:rFonts w:hint="eastAsia" w:ascii="仿宋_GB2312" w:eastAsia="仿宋_GB2312"/>
          <w:sz w:val="32"/>
          <w:szCs w:val="32"/>
        </w:rPr>
        <w:t>人民政府</w:t>
      </w:r>
      <w:r>
        <w:rPr>
          <w:rFonts w:hint="eastAsia" w:ascii="仿宋_GB2312" w:eastAsia="仿宋_GB2312"/>
          <w:sz w:val="32"/>
          <w:szCs w:val="32"/>
          <w:lang w:eastAsia="zh-CN"/>
        </w:rPr>
        <w:t>（</w:t>
      </w:r>
      <w:r>
        <w:rPr>
          <w:rFonts w:hint="eastAsia" w:ascii="仿宋_GB2312" w:eastAsia="仿宋_GB2312"/>
          <w:sz w:val="32"/>
          <w:szCs w:val="32"/>
          <w:lang w:val="en-US" w:eastAsia="zh-CN"/>
        </w:rPr>
        <w:t>街道办事处）</w:t>
      </w:r>
      <w:r>
        <w:rPr>
          <w:rFonts w:hint="eastAsia" w:ascii="仿宋_GB2312" w:eastAsia="仿宋_GB2312"/>
          <w:sz w:val="32"/>
          <w:szCs w:val="32"/>
        </w:rPr>
        <w:t>批准，</w:t>
      </w:r>
      <w:r>
        <w:rPr>
          <w:rFonts w:hint="eastAsia" w:ascii="仿宋_GB2312" w:eastAsia="仿宋_GB2312"/>
          <w:sz w:val="32"/>
          <w:szCs w:val="32"/>
          <w:lang w:val="en-US" w:eastAsia="zh-CN"/>
        </w:rPr>
        <w:t>县</w:t>
      </w:r>
      <w:r>
        <w:rPr>
          <w:rFonts w:hint="eastAsia" w:ascii="仿宋_GB2312" w:eastAsia="仿宋_GB2312"/>
          <w:sz w:val="32"/>
          <w:szCs w:val="32"/>
        </w:rPr>
        <w:t>林业</w:t>
      </w:r>
      <w:r>
        <w:rPr>
          <w:rFonts w:hint="eastAsia" w:ascii="仿宋_GB2312" w:eastAsia="仿宋_GB2312"/>
          <w:sz w:val="32"/>
          <w:szCs w:val="32"/>
          <w:lang w:val="en-US" w:eastAsia="zh-CN"/>
        </w:rPr>
        <w:t>局</w:t>
      </w:r>
      <w:r>
        <w:rPr>
          <w:rFonts w:hint="eastAsia" w:ascii="仿宋_GB2312" w:eastAsia="仿宋_GB2312"/>
          <w:sz w:val="32"/>
          <w:szCs w:val="32"/>
        </w:rPr>
        <w:t>备案</w:t>
      </w:r>
      <w:r>
        <w:rPr>
          <w:rFonts w:hint="eastAsia" w:ascii="仿宋_GB2312" w:eastAsia="仿宋_GB2312"/>
          <w:sz w:val="32"/>
          <w:szCs w:val="32"/>
          <w:lang w:val="en-US" w:eastAsia="zh-CN"/>
        </w:rPr>
        <w:t>，且</w:t>
      </w:r>
      <w:r>
        <w:rPr>
          <w:rFonts w:hint="eastAsia" w:ascii="仿宋_GB2312" w:eastAsia="仿宋_GB2312"/>
          <w:sz w:val="32"/>
          <w:szCs w:val="32"/>
        </w:rPr>
        <w:t>由具有相应资质的机构进行森林资源资产评估后</w:t>
      </w:r>
      <w:r>
        <w:rPr>
          <w:rFonts w:hint="eastAsia" w:ascii="仿宋_GB2312" w:eastAsia="仿宋_GB2312"/>
          <w:sz w:val="32"/>
          <w:szCs w:val="32"/>
          <w:lang w:eastAsia="zh-CN"/>
        </w:rPr>
        <w:t>，</w:t>
      </w:r>
      <w:r>
        <w:rPr>
          <w:rFonts w:hint="eastAsia" w:ascii="仿宋_GB2312" w:eastAsia="仿宋_GB2312"/>
          <w:sz w:val="32"/>
          <w:szCs w:val="32"/>
          <w:u w:val="none"/>
          <w:lang w:val="en-US" w:eastAsia="zh-CN"/>
        </w:rPr>
        <w:t>在县公共资源交易服务中心</w:t>
      </w:r>
      <w:r>
        <w:rPr>
          <w:rFonts w:hint="eastAsia" w:ascii="仿宋_GB2312" w:eastAsia="仿宋_GB2312"/>
          <w:sz w:val="32"/>
          <w:szCs w:val="32"/>
          <w:u w:val="none"/>
        </w:rPr>
        <w:t>公开交易</w:t>
      </w:r>
      <w:r>
        <w:rPr>
          <w:rFonts w:hint="eastAsia" w:ascii="仿宋_GB2312" w:eastAsia="仿宋_GB2312"/>
          <w:sz w:val="32"/>
          <w:szCs w:val="32"/>
          <w:lang w:val="en-US" w:eastAsia="zh-CN"/>
        </w:rPr>
        <w:t>。</w:t>
      </w:r>
      <w:r>
        <w:rPr>
          <w:rFonts w:hint="eastAsia" w:ascii="仿宋_GB2312" w:eastAsia="仿宋_GB2312"/>
          <w:sz w:val="32"/>
          <w:szCs w:val="32"/>
        </w:rPr>
        <w:t>流转面积小于100亩且经本集体经济组织成员的村民会议三分之二以上成员或三分之二以上村民代表讨论，对林权价值认定一致的，可不进行评估。</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对通过招标、拍卖、公开协商等方式取得的集体林地承包权、经营权，并依法登记取得林</w:t>
      </w:r>
      <w:r>
        <w:rPr>
          <w:rFonts w:hint="eastAsia" w:ascii="仿宋_GB2312" w:eastAsia="仿宋_GB2312"/>
          <w:sz w:val="32"/>
          <w:szCs w:val="32"/>
          <w:lang w:eastAsia="zh-CN"/>
        </w:rPr>
        <w:t>权</w:t>
      </w:r>
      <w:r>
        <w:rPr>
          <w:rFonts w:hint="eastAsia" w:ascii="仿宋_GB2312" w:eastAsia="仿宋_GB2312"/>
          <w:sz w:val="32"/>
          <w:szCs w:val="32"/>
        </w:rPr>
        <w:t>证书的，向发包方备案后可以进行流转。</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0" w:firstLineChars="200"/>
        <w:textAlignment w:val="auto"/>
        <w:rPr>
          <w:rFonts w:hint="eastAsia" w:ascii="仿宋_GB2312" w:eastAsia="仿宋_GB2312"/>
          <w:sz w:val="32"/>
          <w:szCs w:val="32"/>
        </w:rPr>
      </w:pPr>
      <w:r>
        <w:rPr>
          <w:rFonts w:hint="eastAsia" w:ascii="仿宋_GB2312" w:eastAsia="仿宋_GB2312"/>
          <w:sz w:val="32"/>
          <w:szCs w:val="32"/>
        </w:rPr>
        <w:t>林权流转合同以国家</w:t>
      </w:r>
      <w:r>
        <w:rPr>
          <w:rFonts w:hint="eastAsia" w:ascii="仿宋_GB2312" w:eastAsia="仿宋_GB2312"/>
          <w:sz w:val="32"/>
          <w:szCs w:val="32"/>
          <w:lang w:val="en-US" w:eastAsia="zh-CN"/>
        </w:rPr>
        <w:t>林草局、国家市场监管总局联合</w:t>
      </w:r>
      <w:r>
        <w:rPr>
          <w:rFonts w:hint="eastAsia" w:ascii="仿宋_GB2312" w:eastAsia="仿宋_GB2312"/>
          <w:sz w:val="32"/>
          <w:szCs w:val="32"/>
        </w:rPr>
        <w:t>制定的合同示范文本为蓝本，可结合国储林项目实际增添有关合同条款内容，或者另行签订书面补充协议明确有关事项。</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rPr>
        <w:t>权属</w:t>
      </w:r>
      <w:r>
        <w:rPr>
          <w:rFonts w:hint="eastAsia" w:ascii="仿宋_GB2312" w:eastAsia="仿宋_GB2312"/>
          <w:sz w:val="32"/>
          <w:szCs w:val="32"/>
          <w:u w:val="none"/>
        </w:rPr>
        <w:t>变更</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转移</w:t>
      </w:r>
      <w:r>
        <w:rPr>
          <w:rFonts w:hint="eastAsia" w:ascii="仿宋_GB2312" w:eastAsia="仿宋_GB2312"/>
          <w:sz w:val="32"/>
          <w:szCs w:val="32"/>
        </w:rPr>
        <w:t>登记。对已</w:t>
      </w:r>
      <w:r>
        <w:rPr>
          <w:rFonts w:hint="eastAsia" w:ascii="仿宋_GB2312" w:eastAsia="仿宋_GB2312"/>
          <w:sz w:val="32"/>
          <w:szCs w:val="32"/>
          <w:lang w:val="en-US" w:eastAsia="zh-CN"/>
        </w:rPr>
        <w:t>按流转合同</w:t>
      </w:r>
      <w:r>
        <w:rPr>
          <w:rFonts w:hint="eastAsia" w:ascii="仿宋_GB2312" w:eastAsia="仿宋_GB2312"/>
          <w:sz w:val="32"/>
          <w:szCs w:val="32"/>
        </w:rPr>
        <w:t>支付流转费的</w:t>
      </w:r>
      <w:r>
        <w:rPr>
          <w:rFonts w:hint="eastAsia" w:ascii="仿宋_GB2312" w:eastAsia="仿宋_GB2312"/>
          <w:sz w:val="32"/>
          <w:szCs w:val="32"/>
          <w:lang w:val="en-US" w:eastAsia="zh-CN"/>
        </w:rPr>
        <w:t>林</w:t>
      </w:r>
      <w:r>
        <w:rPr>
          <w:rFonts w:hint="eastAsia" w:ascii="仿宋_GB2312" w:eastAsia="仿宋_GB2312"/>
          <w:sz w:val="32"/>
          <w:szCs w:val="32"/>
        </w:rPr>
        <w:t>地，林权流出方</w:t>
      </w:r>
      <w:r>
        <w:rPr>
          <w:rFonts w:hint="eastAsia" w:ascii="仿宋_GB2312" w:eastAsia="仿宋_GB2312"/>
          <w:sz w:val="32"/>
          <w:szCs w:val="32"/>
          <w:lang w:eastAsia="zh-CN"/>
        </w:rPr>
        <w:t>（</w:t>
      </w:r>
      <w:r>
        <w:rPr>
          <w:rFonts w:hint="eastAsia" w:ascii="仿宋_GB2312" w:eastAsia="仿宋_GB2312"/>
          <w:sz w:val="32"/>
          <w:szCs w:val="32"/>
        </w:rPr>
        <w:t>或其委托代理人</w:t>
      </w:r>
      <w:r>
        <w:rPr>
          <w:rFonts w:hint="eastAsia" w:ascii="仿宋_GB2312" w:eastAsia="仿宋_GB2312"/>
          <w:sz w:val="32"/>
          <w:szCs w:val="32"/>
          <w:lang w:eastAsia="zh-CN"/>
        </w:rPr>
        <w:t>）</w:t>
      </w:r>
      <w:r>
        <w:rPr>
          <w:rFonts w:hint="eastAsia" w:ascii="仿宋_GB2312" w:eastAsia="仿宋_GB2312"/>
          <w:sz w:val="32"/>
          <w:szCs w:val="32"/>
        </w:rPr>
        <w:t>应按约定期限及时向项目公司交付林地经营权、林木所有权和使用权，并由双方按相关法律法规，共同向</w:t>
      </w:r>
      <w:r>
        <w:rPr>
          <w:rFonts w:hint="eastAsia" w:ascii="仿宋_GB2312" w:eastAsia="仿宋_GB2312"/>
          <w:sz w:val="32"/>
          <w:szCs w:val="32"/>
          <w:lang w:val="en-US" w:eastAsia="zh-CN"/>
        </w:rPr>
        <w:t>县不动产登记中心</w:t>
      </w:r>
      <w:r>
        <w:rPr>
          <w:rFonts w:hint="eastAsia" w:ascii="仿宋_GB2312" w:eastAsia="仿宋_GB2312"/>
          <w:sz w:val="32"/>
          <w:szCs w:val="32"/>
        </w:rPr>
        <w:t>申请办理权属</w:t>
      </w:r>
      <w:r>
        <w:rPr>
          <w:rFonts w:hint="eastAsia" w:ascii="仿宋_GB2312" w:eastAsia="仿宋_GB2312"/>
          <w:sz w:val="32"/>
          <w:szCs w:val="32"/>
          <w:u w:val="none"/>
        </w:rPr>
        <w:t>变更、</w:t>
      </w:r>
      <w:r>
        <w:rPr>
          <w:rFonts w:hint="eastAsia" w:ascii="仿宋_GB2312" w:eastAsia="仿宋_GB2312"/>
          <w:sz w:val="32"/>
          <w:szCs w:val="32"/>
          <w:u w:val="none"/>
          <w:lang w:val="en-US" w:eastAsia="zh-CN"/>
        </w:rPr>
        <w:t>转移</w:t>
      </w:r>
      <w:r>
        <w:rPr>
          <w:rFonts w:hint="eastAsia" w:ascii="仿宋_GB2312" w:eastAsia="仿宋_GB2312"/>
          <w:sz w:val="32"/>
          <w:szCs w:val="32"/>
          <w:u w:val="none"/>
        </w:rPr>
        <w:t>登记</w:t>
      </w:r>
      <w:r>
        <w:rPr>
          <w:rFonts w:hint="eastAsia" w:ascii="仿宋_GB2312" w:eastAsia="仿宋_GB2312"/>
          <w:sz w:val="32"/>
          <w:szCs w:val="32"/>
        </w:rPr>
        <w:t>。</w:t>
      </w:r>
      <w:r>
        <w:rPr>
          <w:rFonts w:hint="eastAsia" w:ascii="仿宋_GB2312" w:eastAsia="仿宋_GB2312"/>
          <w:sz w:val="32"/>
          <w:szCs w:val="32"/>
          <w:lang w:val="en-US" w:eastAsia="zh-CN"/>
        </w:rPr>
        <w:t>未经登记不得善意对抗第三人。</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3"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五）探索利益</w:t>
      </w:r>
      <w:r>
        <w:rPr>
          <w:rFonts w:hint="eastAsia" w:ascii="楷体_GB2312" w:hAnsi="楷体_GB2312" w:eastAsia="楷体_GB2312" w:cs="楷体_GB2312"/>
          <w:b/>
          <w:bCs/>
          <w:sz w:val="32"/>
          <w:szCs w:val="32"/>
        </w:rPr>
        <w:t>链接机制</w:t>
      </w:r>
      <w:r>
        <w:rPr>
          <w:rFonts w:hint="eastAsia" w:ascii="仿宋_GB2312" w:eastAsia="仿宋_GB2312"/>
          <w:sz w:val="32"/>
          <w:szCs w:val="32"/>
          <w:lang w:eastAsia="zh-CN"/>
        </w:rPr>
        <w:t>。</w:t>
      </w:r>
      <w:r>
        <w:rPr>
          <w:rFonts w:hint="eastAsia" w:ascii="仿宋_GB2312" w:eastAsia="仿宋_GB2312"/>
          <w:sz w:val="32"/>
          <w:szCs w:val="32"/>
        </w:rPr>
        <w:t>鼓励</w:t>
      </w:r>
      <w:r>
        <w:rPr>
          <w:rFonts w:hint="eastAsia" w:ascii="仿宋_GB2312" w:eastAsia="仿宋_GB2312"/>
          <w:sz w:val="32"/>
          <w:szCs w:val="32"/>
          <w:lang w:val="en-US" w:eastAsia="zh-CN"/>
        </w:rPr>
        <w:t>相</w:t>
      </w:r>
      <w:r>
        <w:rPr>
          <w:rFonts w:hint="eastAsia" w:ascii="仿宋_GB2312" w:eastAsia="仿宋_GB2312"/>
          <w:sz w:val="32"/>
          <w:szCs w:val="32"/>
        </w:rPr>
        <w:t>关</w:t>
      </w:r>
      <w:r>
        <w:rPr>
          <w:rFonts w:hint="eastAsia" w:ascii="仿宋_GB2312" w:eastAsia="仿宋_GB2312"/>
          <w:sz w:val="32"/>
          <w:szCs w:val="32"/>
          <w:lang w:eastAsia="zh-CN"/>
        </w:rPr>
        <w:t>乡镇（街道）</w:t>
      </w:r>
      <w:r>
        <w:rPr>
          <w:rFonts w:hint="eastAsia" w:ascii="仿宋_GB2312" w:eastAsia="仿宋_GB2312"/>
          <w:sz w:val="32"/>
          <w:szCs w:val="32"/>
        </w:rPr>
        <w:t>从实际出发，探索建立“</w:t>
      </w:r>
      <w:r>
        <w:rPr>
          <w:rFonts w:hint="eastAsia" w:ascii="仿宋_GB2312" w:eastAsia="仿宋_GB2312"/>
          <w:sz w:val="32"/>
          <w:szCs w:val="32"/>
          <w:lang w:val="en-US" w:eastAsia="zh-CN"/>
        </w:rPr>
        <w:t>项目</w:t>
      </w:r>
      <w:r>
        <w:rPr>
          <w:rFonts w:hint="eastAsia" w:ascii="仿宋_GB2312" w:eastAsia="仿宋_GB2312"/>
          <w:sz w:val="32"/>
          <w:szCs w:val="32"/>
        </w:rPr>
        <w:t>公司+</w:t>
      </w:r>
      <w:r>
        <w:rPr>
          <w:rFonts w:hint="eastAsia" w:ascii="仿宋_GB2312" w:eastAsia="仿宋_GB2312"/>
          <w:sz w:val="32"/>
          <w:szCs w:val="32"/>
          <w:lang w:eastAsia="zh-CN"/>
        </w:rPr>
        <w:t>村股份经济合作联合社</w:t>
      </w:r>
      <w:r>
        <w:rPr>
          <w:rFonts w:hint="eastAsia" w:ascii="仿宋_GB2312" w:eastAsia="仿宋_GB2312"/>
          <w:sz w:val="32"/>
          <w:szCs w:val="32"/>
        </w:rPr>
        <w:t>+农户”的利益链接机制，稳步推动农村产权制度改革，推动林地股权化、资源变股权、资金变股金、农民变股东，提高农民参与性和获得感。各</w:t>
      </w:r>
      <w:r>
        <w:rPr>
          <w:rFonts w:hint="eastAsia" w:ascii="仿宋_GB2312" w:eastAsia="仿宋_GB2312"/>
          <w:sz w:val="32"/>
          <w:szCs w:val="32"/>
          <w:lang w:eastAsia="zh-CN"/>
        </w:rPr>
        <w:t>乡镇（街道）</w:t>
      </w:r>
      <w:r>
        <w:rPr>
          <w:rFonts w:hint="eastAsia" w:ascii="仿宋_GB2312" w:eastAsia="仿宋_GB2312"/>
          <w:sz w:val="32"/>
          <w:szCs w:val="32"/>
        </w:rPr>
        <w:t>人民政府</w:t>
      </w:r>
      <w:r>
        <w:rPr>
          <w:rFonts w:hint="eastAsia" w:ascii="仿宋_GB2312" w:eastAsia="仿宋_GB2312"/>
          <w:sz w:val="32"/>
          <w:szCs w:val="32"/>
          <w:lang w:val="en-US" w:eastAsia="zh-CN"/>
        </w:rPr>
        <w:t>要</w:t>
      </w:r>
      <w:r>
        <w:rPr>
          <w:rFonts w:hint="eastAsia" w:ascii="仿宋_GB2312" w:eastAsia="仿宋_GB2312"/>
          <w:sz w:val="32"/>
          <w:szCs w:val="32"/>
        </w:rPr>
        <w:t>指导项</w:t>
      </w:r>
      <w:r>
        <w:rPr>
          <w:rFonts w:hint="eastAsia" w:ascii="仿宋_GB2312" w:eastAsia="仿宋_GB2312"/>
          <w:sz w:val="32"/>
          <w:szCs w:val="32"/>
          <w:lang w:val="en-US" w:eastAsia="zh-CN"/>
        </w:rPr>
        <w:t>目</w:t>
      </w:r>
      <w:r>
        <w:rPr>
          <w:rFonts w:hint="eastAsia" w:ascii="仿宋_GB2312" w:eastAsia="仿宋_GB2312"/>
          <w:sz w:val="32"/>
          <w:szCs w:val="32"/>
          <w:lang w:eastAsia="zh-CN"/>
        </w:rPr>
        <w:t>村股份经济合作联合社</w:t>
      </w:r>
      <w:r>
        <w:rPr>
          <w:rFonts w:hint="eastAsia" w:ascii="仿宋_GB2312" w:eastAsia="仿宋_GB2312"/>
          <w:sz w:val="32"/>
          <w:szCs w:val="32"/>
        </w:rPr>
        <w:t>建立用工派工</w:t>
      </w:r>
      <w:r>
        <w:rPr>
          <w:rFonts w:hint="eastAsia" w:ascii="仿宋_GB2312" w:eastAsia="仿宋_GB2312"/>
          <w:sz w:val="32"/>
          <w:szCs w:val="32"/>
          <w:lang w:val="en-US" w:eastAsia="zh-CN"/>
        </w:rPr>
        <w:t>制度，实行劳务派遣，保证农民获得较为稳定的就近务工收入。项目公司要让利于民，项目经营收入利润分红时，确保村股份经济合作联合社、相关林农最低分红比例分别在5%、10%以上，具体比例在流转合同中协商约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（六）相关事项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楷体_GB2312" w:eastAsia="仿宋_GB2312"/>
          <w:b/>
          <w:sz w:val="32"/>
          <w:szCs w:val="32"/>
          <w:lang w:eastAsia="zh-CN"/>
        </w:rPr>
      </w:pPr>
      <w:r>
        <w:rPr>
          <w:rFonts w:hint="eastAsia" w:ascii="楷体_GB2312" w:hAnsi="楷体_GB2312" w:eastAsia="楷体_GB2312" w:cs="楷体_GB2312"/>
          <w:b/>
          <w:bCs/>
          <w:sz w:val="32"/>
          <w:szCs w:val="32"/>
          <w:lang w:val="en-US" w:eastAsia="zh-CN"/>
        </w:rPr>
        <w:t>1.</w:t>
      </w:r>
      <w:r>
        <w:rPr>
          <w:rFonts w:hint="eastAsia" w:ascii="仿宋_GB2312" w:eastAsia="仿宋_GB2312"/>
          <w:sz w:val="32"/>
          <w:szCs w:val="32"/>
        </w:rPr>
        <w:t>在林权流转期内，林地所有权仍</w:t>
      </w:r>
      <w:r>
        <w:rPr>
          <w:rFonts w:hint="eastAsia" w:ascii="仿宋_GB2312" w:eastAsia="仿宋_GB2312"/>
          <w:sz w:val="32"/>
          <w:szCs w:val="32"/>
          <w:lang w:eastAsia="zh-CN"/>
        </w:rPr>
        <w:t>归</w:t>
      </w:r>
      <w:r>
        <w:rPr>
          <w:rFonts w:hint="eastAsia" w:ascii="仿宋_GB2312" w:eastAsia="仿宋_GB2312"/>
          <w:sz w:val="32"/>
          <w:szCs w:val="32"/>
        </w:rPr>
        <w:t>原林权所有人，林地经营权、林木所有权</w:t>
      </w:r>
      <w:r>
        <w:rPr>
          <w:rFonts w:hint="eastAsia" w:ascii="仿宋_GB2312" w:eastAsia="仿宋_GB2312"/>
          <w:sz w:val="32"/>
          <w:szCs w:val="32"/>
          <w:lang w:eastAsia="zh-CN"/>
        </w:rPr>
        <w:t>和</w:t>
      </w:r>
      <w:r>
        <w:rPr>
          <w:rFonts w:hint="eastAsia" w:ascii="仿宋_GB2312" w:eastAsia="仿宋_GB2312"/>
          <w:sz w:val="32"/>
          <w:szCs w:val="32"/>
        </w:rPr>
        <w:t>林木使用权归项目</w:t>
      </w:r>
      <w:r>
        <w:rPr>
          <w:rFonts w:hint="eastAsia" w:ascii="仿宋_GB2312" w:eastAsia="仿宋_GB2312"/>
          <w:sz w:val="32"/>
          <w:szCs w:val="32"/>
          <w:lang w:val="en-US" w:eastAsia="zh-CN"/>
        </w:rPr>
        <w:t>公司。以入股方式与项目公司合作的，以签订的合同约定为准。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599" w:firstLineChars="200"/>
        <w:textAlignment w:val="auto"/>
        <w:rPr>
          <w:rFonts w:hint="eastAsia" w:ascii="楷体_GB2312" w:eastAsia="楷体_GB2312"/>
          <w:b/>
          <w:spacing w:val="-11"/>
          <w:sz w:val="32"/>
          <w:szCs w:val="32"/>
        </w:rPr>
      </w:pPr>
      <w:r>
        <w:rPr>
          <w:rFonts w:hint="eastAsia" w:ascii="楷体_GB2312" w:eastAsia="楷体_GB2312"/>
          <w:b/>
          <w:spacing w:val="-11"/>
          <w:sz w:val="32"/>
          <w:szCs w:val="32"/>
          <w:lang w:val="en-US" w:eastAsia="zh-CN"/>
        </w:rPr>
        <w:t>2.</w:t>
      </w:r>
      <w:r>
        <w:rPr>
          <w:rFonts w:hint="eastAsia" w:ascii="仿宋_GB2312" w:eastAsia="仿宋_GB2312"/>
          <w:spacing w:val="-11"/>
          <w:sz w:val="32"/>
          <w:szCs w:val="32"/>
        </w:rPr>
        <w:t>项目公司根据国储林项目建设内容或森林管护经营</w:t>
      </w:r>
      <w:r>
        <w:rPr>
          <w:rFonts w:hint="eastAsia" w:ascii="仿宋_GB2312" w:eastAsia="仿宋_GB2312"/>
          <w:spacing w:val="-11"/>
          <w:sz w:val="32"/>
          <w:szCs w:val="32"/>
          <w:lang w:val="en-US" w:eastAsia="zh-CN"/>
        </w:rPr>
        <w:t>活动</w:t>
      </w:r>
      <w:r>
        <w:rPr>
          <w:rFonts w:hint="eastAsia" w:ascii="仿宋_GB2312" w:eastAsia="仿宋_GB2312"/>
          <w:spacing w:val="-11"/>
          <w:sz w:val="32"/>
          <w:szCs w:val="32"/>
        </w:rPr>
        <w:t>需要</w:t>
      </w:r>
      <w:r>
        <w:rPr>
          <w:rFonts w:hint="eastAsia" w:ascii="仿宋_GB2312" w:eastAsia="仿宋_GB2312"/>
          <w:spacing w:val="-11"/>
          <w:sz w:val="32"/>
          <w:szCs w:val="32"/>
          <w:lang w:eastAsia="zh-CN"/>
        </w:rPr>
        <w:t>，</w:t>
      </w:r>
      <w:r>
        <w:rPr>
          <w:rFonts w:hint="eastAsia" w:ascii="仿宋_GB2312" w:eastAsia="仿宋_GB2312"/>
          <w:spacing w:val="-11"/>
          <w:sz w:val="32"/>
          <w:szCs w:val="32"/>
        </w:rPr>
        <w:t>依法开展林区道路、防火隔离带、临时管理用房建设，林地经营权流出方不得干涉，涉及补偿的，由当事人双方协商解决。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楷体_GB2312" w:eastAsia="楷体_GB2312"/>
          <w:b/>
          <w:sz w:val="32"/>
          <w:szCs w:val="32"/>
        </w:rPr>
      </w:pPr>
      <w:r>
        <w:rPr>
          <w:rFonts w:hint="eastAsia" w:ascii="楷体_GB2312" w:eastAsia="楷体_GB2312"/>
          <w:b/>
          <w:sz w:val="32"/>
          <w:szCs w:val="32"/>
          <w:lang w:val="en-US" w:eastAsia="zh-CN"/>
        </w:rPr>
        <w:t>3.</w:t>
      </w:r>
      <w:r>
        <w:rPr>
          <w:rFonts w:hint="eastAsia" w:ascii="仿宋_GB2312" w:eastAsia="仿宋_GB2312"/>
          <w:sz w:val="32"/>
          <w:szCs w:val="32"/>
        </w:rPr>
        <w:t>林</w:t>
      </w:r>
      <w:r>
        <w:rPr>
          <w:rFonts w:hint="eastAsia" w:ascii="仿宋_GB2312" w:eastAsia="仿宋_GB2312"/>
          <w:sz w:val="32"/>
          <w:szCs w:val="32"/>
          <w:lang w:val="en-US" w:eastAsia="zh-CN"/>
        </w:rPr>
        <w:t>权</w:t>
      </w:r>
      <w:r>
        <w:rPr>
          <w:rFonts w:hint="eastAsia" w:ascii="仿宋_GB2312" w:eastAsia="仿宋_GB2312"/>
          <w:sz w:val="32"/>
          <w:szCs w:val="32"/>
        </w:rPr>
        <w:t>流转期内，</w:t>
      </w:r>
      <w:r>
        <w:rPr>
          <w:rFonts w:hint="eastAsia" w:ascii="仿宋_GB2312" w:eastAsia="仿宋_GB2312"/>
          <w:sz w:val="32"/>
          <w:szCs w:val="32"/>
          <w:lang w:val="en-US" w:eastAsia="zh-CN"/>
        </w:rPr>
        <w:t>若</w:t>
      </w:r>
      <w:r>
        <w:rPr>
          <w:rFonts w:hint="eastAsia" w:ascii="仿宋_GB2312" w:eastAsia="仿宋_GB2312"/>
          <w:sz w:val="32"/>
          <w:szCs w:val="32"/>
        </w:rPr>
        <w:t>国家其他重点项目建设征占用林地，林地征占用补偿费应先支付项目</w:t>
      </w:r>
      <w:r>
        <w:rPr>
          <w:rFonts w:hint="eastAsia" w:ascii="仿宋_GB2312" w:eastAsia="仿宋_GB2312"/>
          <w:sz w:val="32"/>
          <w:szCs w:val="32"/>
          <w:lang w:val="en-US" w:eastAsia="zh-CN"/>
        </w:rPr>
        <w:t>建设</w:t>
      </w:r>
      <w:r>
        <w:rPr>
          <w:rFonts w:hint="eastAsia" w:ascii="仿宋_GB2312" w:eastAsia="仿宋_GB2312"/>
          <w:sz w:val="32"/>
          <w:szCs w:val="32"/>
        </w:rPr>
        <w:t>主体已付的流转费，剩余部分再支付给原林权所有权人</w:t>
      </w:r>
      <w:r>
        <w:rPr>
          <w:rFonts w:hint="eastAsia" w:ascii="仿宋_GB2312" w:eastAsia="仿宋_GB2312"/>
          <w:sz w:val="32"/>
          <w:szCs w:val="32"/>
          <w:lang w:eastAsia="zh-CN"/>
        </w:rPr>
        <w:t>；</w:t>
      </w:r>
      <w:r>
        <w:rPr>
          <w:rFonts w:hint="eastAsia" w:ascii="仿宋_GB2312" w:eastAsia="仿宋_GB2312"/>
          <w:sz w:val="32"/>
          <w:szCs w:val="32"/>
        </w:rPr>
        <w:t>林木补偿费则直接支付给项目</w:t>
      </w:r>
      <w:r>
        <w:rPr>
          <w:rFonts w:hint="eastAsia" w:ascii="仿宋_GB2312" w:eastAsia="仿宋_GB2312"/>
          <w:sz w:val="32"/>
          <w:szCs w:val="32"/>
          <w:lang w:val="en-US" w:eastAsia="zh-CN"/>
        </w:rPr>
        <w:t>建设</w:t>
      </w:r>
      <w:r>
        <w:rPr>
          <w:rFonts w:hint="eastAsia" w:ascii="仿宋_GB2312" w:eastAsia="仿宋_GB2312"/>
          <w:sz w:val="32"/>
          <w:szCs w:val="32"/>
        </w:rPr>
        <w:t>主体</w:t>
      </w:r>
      <w:r>
        <w:rPr>
          <w:rFonts w:hint="eastAsia" w:ascii="仿宋_GB2312" w:eastAsia="仿宋_GB2312"/>
          <w:sz w:val="32"/>
          <w:szCs w:val="32"/>
          <w:lang w:eastAsia="zh-CN"/>
        </w:rPr>
        <w:t>，</w:t>
      </w:r>
      <w:r>
        <w:rPr>
          <w:rFonts w:hint="eastAsia" w:ascii="仿宋_GB2312" w:eastAsia="仿宋_GB2312"/>
          <w:sz w:val="32"/>
          <w:szCs w:val="32"/>
        </w:rPr>
        <w:t>项目</w:t>
      </w:r>
      <w:r>
        <w:rPr>
          <w:rFonts w:hint="eastAsia" w:ascii="仿宋_GB2312" w:eastAsia="仿宋_GB2312"/>
          <w:sz w:val="32"/>
          <w:szCs w:val="32"/>
          <w:lang w:val="en-US" w:eastAsia="zh-CN"/>
        </w:rPr>
        <w:t>建设</w:t>
      </w:r>
      <w:r>
        <w:rPr>
          <w:rFonts w:hint="eastAsia" w:ascii="仿宋_GB2312" w:eastAsia="仿宋_GB2312"/>
          <w:sz w:val="32"/>
          <w:szCs w:val="32"/>
        </w:rPr>
        <w:t>主体应按</w:t>
      </w:r>
      <w:r>
        <w:rPr>
          <w:rFonts w:hint="eastAsia" w:ascii="仿宋_GB2312" w:eastAsia="仿宋_GB2312"/>
          <w:sz w:val="32"/>
          <w:szCs w:val="32"/>
          <w:lang w:val="en-US" w:eastAsia="zh-CN"/>
        </w:rPr>
        <w:t>其林权流转合同相关条款</w:t>
      </w:r>
      <w:r>
        <w:rPr>
          <w:rFonts w:hint="eastAsia" w:ascii="仿宋_GB2312" w:eastAsia="仿宋_GB2312"/>
          <w:sz w:val="32"/>
          <w:szCs w:val="32"/>
        </w:rPr>
        <w:t>对林木补偿费进行分配。</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eastAsia="楷体_GB2312"/>
          <w:b/>
          <w:sz w:val="32"/>
          <w:szCs w:val="32"/>
          <w:lang w:val="en-US" w:eastAsia="zh-CN"/>
        </w:rPr>
        <w:t>4.</w:t>
      </w:r>
      <w:r>
        <w:rPr>
          <w:rFonts w:hint="eastAsia" w:ascii="仿宋_GB2312" w:eastAsia="仿宋_GB2312"/>
          <w:sz w:val="32"/>
          <w:szCs w:val="32"/>
        </w:rPr>
        <w:t>在林</w:t>
      </w:r>
      <w:r>
        <w:rPr>
          <w:rFonts w:hint="eastAsia" w:ascii="仿宋_GB2312" w:eastAsia="仿宋_GB2312"/>
          <w:sz w:val="32"/>
          <w:szCs w:val="32"/>
          <w:lang w:val="en-US" w:eastAsia="zh-CN"/>
        </w:rPr>
        <w:t>权</w:t>
      </w:r>
      <w:r>
        <w:rPr>
          <w:rFonts w:hint="eastAsia" w:ascii="仿宋_GB2312" w:eastAsia="仿宋_GB2312"/>
          <w:sz w:val="32"/>
          <w:szCs w:val="32"/>
        </w:rPr>
        <w:t>流转期限内，各项目</w:t>
      </w:r>
      <w:r>
        <w:rPr>
          <w:rFonts w:hint="eastAsia" w:ascii="仿宋_GB2312" w:eastAsia="仿宋_GB2312"/>
          <w:sz w:val="32"/>
          <w:szCs w:val="32"/>
          <w:lang w:eastAsia="zh-CN"/>
        </w:rPr>
        <w:t>乡镇（街道）</w:t>
      </w:r>
      <w:r>
        <w:rPr>
          <w:rFonts w:hint="eastAsia" w:ascii="仿宋_GB2312" w:eastAsia="仿宋_GB2312"/>
          <w:sz w:val="32"/>
          <w:szCs w:val="32"/>
        </w:rPr>
        <w:t>继续履行森林防灭火、林业有害生物防治主体责任，项目公司履行林地及其地上附着物（含林木）经营管护责任</w:t>
      </w:r>
      <w:r>
        <w:rPr>
          <w:rFonts w:hint="eastAsia" w:ascii="仿宋_GB2312" w:eastAsia="仿宋_GB2312"/>
          <w:sz w:val="32"/>
          <w:szCs w:val="32"/>
          <w:lang w:eastAsia="zh-CN"/>
        </w:rPr>
        <w:t>、森林防灭火责任、施工安全责任</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、责任分工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楷体_GB2312" w:eastAsia="楷体_GB2312"/>
          <w:b/>
          <w:sz w:val="32"/>
          <w:szCs w:val="32"/>
        </w:rPr>
      </w:pPr>
      <w:r>
        <w:rPr>
          <w:rFonts w:hint="eastAsia" w:ascii="楷体_GB2312" w:eastAsia="楷体_GB2312"/>
          <w:b/>
          <w:sz w:val="32"/>
          <w:szCs w:val="32"/>
          <w:lang w:eastAsia="zh-CN"/>
        </w:rPr>
        <w:t>（</w:t>
      </w:r>
      <w:r>
        <w:rPr>
          <w:rFonts w:hint="eastAsia" w:ascii="楷体_GB2312" w:eastAsia="楷体_GB2312"/>
          <w:b/>
          <w:sz w:val="32"/>
          <w:szCs w:val="32"/>
        </w:rPr>
        <w:t>一</w:t>
      </w:r>
      <w:r>
        <w:rPr>
          <w:rFonts w:hint="eastAsia" w:ascii="楷体_GB2312" w:eastAsia="楷体_GB2312"/>
          <w:b/>
          <w:sz w:val="32"/>
          <w:szCs w:val="32"/>
          <w:lang w:eastAsia="zh-CN"/>
        </w:rPr>
        <w:t>）</w:t>
      </w:r>
      <w:r>
        <w:rPr>
          <w:rFonts w:hint="eastAsia" w:ascii="楷体_GB2312" w:eastAsia="楷体_GB2312"/>
          <w:b/>
          <w:sz w:val="32"/>
          <w:szCs w:val="32"/>
        </w:rPr>
        <w:t>县林业局</w:t>
      </w:r>
      <w:r>
        <w:rPr>
          <w:rFonts w:hint="eastAsia" w:ascii="仿宋_GB2312" w:eastAsia="仿宋_GB2312"/>
          <w:sz w:val="32"/>
          <w:szCs w:val="32"/>
          <w:lang w:eastAsia="zh-CN"/>
        </w:rPr>
        <w:t>：</w:t>
      </w:r>
      <w:r>
        <w:rPr>
          <w:rFonts w:hint="eastAsia" w:ascii="仿宋_GB2312" w:eastAsia="仿宋_GB2312"/>
          <w:sz w:val="32"/>
          <w:szCs w:val="32"/>
        </w:rPr>
        <w:t>负责统筹国储林项目林</w:t>
      </w:r>
      <w:r>
        <w:rPr>
          <w:rFonts w:hint="eastAsia" w:ascii="仿宋_GB2312" w:eastAsia="仿宋_GB2312"/>
          <w:sz w:val="32"/>
          <w:szCs w:val="32"/>
          <w:lang w:val="en-US" w:eastAsia="zh-CN"/>
        </w:rPr>
        <w:t>权</w:t>
      </w:r>
      <w:r>
        <w:rPr>
          <w:rFonts w:hint="eastAsia" w:ascii="仿宋_GB2312" w:eastAsia="仿宋_GB2312"/>
          <w:sz w:val="32"/>
          <w:szCs w:val="32"/>
        </w:rPr>
        <w:t>流转计划、实施主体项目区域确定，指导相关</w:t>
      </w:r>
      <w:r>
        <w:rPr>
          <w:rFonts w:hint="eastAsia" w:ascii="仿宋_GB2312" w:eastAsia="仿宋_GB2312"/>
          <w:sz w:val="32"/>
          <w:szCs w:val="32"/>
          <w:lang w:eastAsia="zh-CN"/>
        </w:rPr>
        <w:t>乡镇（街道）</w:t>
      </w:r>
      <w:r>
        <w:rPr>
          <w:rFonts w:hint="eastAsia" w:ascii="仿宋_GB2312" w:eastAsia="仿宋_GB2312"/>
          <w:sz w:val="32"/>
          <w:szCs w:val="32"/>
        </w:rPr>
        <w:t>、村集体经济组织林权有序流转。</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楷体_GB2312" w:eastAsia="楷体_GB2312"/>
          <w:b/>
          <w:sz w:val="32"/>
          <w:szCs w:val="32"/>
        </w:rPr>
      </w:pPr>
      <w:r>
        <w:rPr>
          <w:rFonts w:hint="eastAsia" w:ascii="楷体_GB2312" w:eastAsia="楷体_GB2312"/>
          <w:b/>
          <w:sz w:val="32"/>
          <w:szCs w:val="32"/>
          <w:lang w:eastAsia="zh-CN"/>
        </w:rPr>
        <w:t>（</w:t>
      </w:r>
      <w:r>
        <w:rPr>
          <w:rFonts w:hint="eastAsia" w:ascii="楷体_GB2312" w:eastAsia="楷体_GB2312"/>
          <w:b/>
          <w:sz w:val="32"/>
          <w:szCs w:val="32"/>
        </w:rPr>
        <w:t>二</w:t>
      </w:r>
      <w:r>
        <w:rPr>
          <w:rFonts w:hint="eastAsia" w:ascii="楷体_GB2312" w:eastAsia="楷体_GB2312"/>
          <w:b/>
          <w:sz w:val="32"/>
          <w:szCs w:val="32"/>
          <w:lang w:eastAsia="zh-CN"/>
        </w:rPr>
        <w:t>）</w:t>
      </w:r>
      <w:r>
        <w:rPr>
          <w:rFonts w:hint="eastAsia" w:ascii="楷体_GB2312" w:eastAsia="楷体_GB2312"/>
          <w:b/>
          <w:sz w:val="32"/>
          <w:szCs w:val="32"/>
          <w:lang w:val="en-US" w:eastAsia="zh-CN"/>
        </w:rPr>
        <w:t>项目</w:t>
      </w:r>
      <w:r>
        <w:rPr>
          <w:rFonts w:hint="eastAsia" w:ascii="楷体_GB2312" w:eastAsia="楷体_GB2312"/>
          <w:b/>
          <w:sz w:val="32"/>
          <w:szCs w:val="32"/>
          <w:lang w:eastAsia="zh-CN"/>
        </w:rPr>
        <w:t>乡镇（街道）</w:t>
      </w:r>
      <w:r>
        <w:rPr>
          <w:rFonts w:hint="eastAsia" w:ascii="仿宋_GB2312" w:eastAsia="仿宋_GB2312"/>
          <w:sz w:val="32"/>
          <w:szCs w:val="32"/>
          <w:lang w:eastAsia="zh-CN"/>
        </w:rPr>
        <w:t>：</w:t>
      </w:r>
      <w:r>
        <w:rPr>
          <w:rFonts w:hint="eastAsia" w:ascii="仿宋_GB2312" w:eastAsia="仿宋_GB2312"/>
          <w:sz w:val="32"/>
          <w:szCs w:val="32"/>
        </w:rPr>
        <w:t>作为国储林</w:t>
      </w:r>
      <w:r>
        <w:rPr>
          <w:rFonts w:hint="eastAsia" w:ascii="仿宋_GB2312" w:eastAsia="仿宋_GB2312"/>
          <w:sz w:val="32"/>
          <w:szCs w:val="32"/>
          <w:lang w:val="en-US" w:eastAsia="zh-CN"/>
        </w:rPr>
        <w:t>建设</w:t>
      </w:r>
      <w:r>
        <w:rPr>
          <w:rFonts w:hint="eastAsia" w:ascii="仿宋_GB2312" w:eastAsia="仿宋_GB2312"/>
          <w:sz w:val="32"/>
          <w:szCs w:val="32"/>
        </w:rPr>
        <w:t>项目林</w:t>
      </w:r>
      <w:r>
        <w:rPr>
          <w:rFonts w:hint="eastAsia" w:ascii="仿宋_GB2312" w:eastAsia="仿宋_GB2312"/>
          <w:sz w:val="32"/>
          <w:szCs w:val="32"/>
          <w:lang w:val="en-US" w:eastAsia="zh-CN"/>
        </w:rPr>
        <w:t>权</w:t>
      </w:r>
      <w:r>
        <w:rPr>
          <w:rFonts w:hint="eastAsia" w:ascii="仿宋_GB2312" w:eastAsia="仿宋_GB2312"/>
          <w:sz w:val="32"/>
          <w:szCs w:val="32"/>
        </w:rPr>
        <w:t>流转工作主体</w:t>
      </w:r>
      <w:r>
        <w:rPr>
          <w:rFonts w:hint="eastAsia" w:ascii="仿宋_GB2312" w:eastAsia="仿宋_GB2312"/>
          <w:sz w:val="32"/>
          <w:szCs w:val="32"/>
          <w:lang w:eastAsia="zh-CN"/>
        </w:rPr>
        <w:t>，</w:t>
      </w:r>
      <w:r>
        <w:rPr>
          <w:rFonts w:hint="eastAsia" w:ascii="仿宋_GB2312" w:eastAsia="仿宋_GB2312"/>
          <w:sz w:val="32"/>
          <w:szCs w:val="32"/>
        </w:rPr>
        <w:t>负责宣传引导、组织村组开展林地流转工作</w:t>
      </w:r>
      <w:r>
        <w:rPr>
          <w:rFonts w:hint="eastAsia" w:ascii="仿宋_GB2312" w:eastAsia="仿宋_GB2312"/>
          <w:sz w:val="32"/>
          <w:szCs w:val="32"/>
          <w:lang w:eastAsia="zh-CN"/>
        </w:rPr>
        <w:t>，</w:t>
      </w:r>
      <w:r>
        <w:rPr>
          <w:rFonts w:hint="eastAsia" w:ascii="仿宋_GB2312" w:eastAsia="仿宋_GB2312"/>
          <w:sz w:val="32"/>
          <w:szCs w:val="32"/>
          <w:lang w:val="en-US" w:eastAsia="zh-CN"/>
        </w:rPr>
        <w:t>指导相关</w:t>
      </w:r>
      <w:r>
        <w:rPr>
          <w:rFonts w:hint="eastAsia" w:ascii="仿宋_GB2312" w:eastAsia="仿宋_GB2312"/>
          <w:sz w:val="32"/>
          <w:szCs w:val="32"/>
          <w:lang w:eastAsia="zh-CN"/>
        </w:rPr>
        <w:t>村股份经济合作联合社</w:t>
      </w:r>
      <w:r>
        <w:rPr>
          <w:rFonts w:hint="eastAsia" w:ascii="仿宋_GB2312" w:eastAsia="仿宋_GB2312"/>
          <w:sz w:val="32"/>
          <w:szCs w:val="32"/>
          <w:lang w:val="en-US" w:eastAsia="zh-CN"/>
        </w:rPr>
        <w:t>与项目公司建立利益联结机制</w:t>
      </w:r>
      <w:r>
        <w:rPr>
          <w:rFonts w:hint="eastAsia" w:ascii="仿宋_GB2312" w:eastAsia="仿宋_GB2312"/>
          <w:sz w:val="32"/>
          <w:szCs w:val="32"/>
        </w:rPr>
        <w:t>；负责信访维稳和矛盾纠纷调处工作</w:t>
      </w:r>
      <w:r>
        <w:rPr>
          <w:rFonts w:hint="eastAsia" w:ascii="仿宋_GB2312" w:eastAsia="仿宋_GB2312"/>
          <w:sz w:val="32"/>
          <w:szCs w:val="32"/>
          <w:lang w:eastAsia="zh-CN"/>
        </w:rPr>
        <w:t>；</w:t>
      </w:r>
      <w:r>
        <w:rPr>
          <w:rFonts w:hint="eastAsia" w:ascii="仿宋_GB2312" w:eastAsia="仿宋_GB2312"/>
          <w:sz w:val="32"/>
          <w:szCs w:val="32"/>
        </w:rPr>
        <w:t>支持项目</w:t>
      </w:r>
      <w:r>
        <w:rPr>
          <w:rFonts w:hint="eastAsia" w:ascii="仿宋_GB2312" w:eastAsia="仿宋_GB2312"/>
          <w:sz w:val="32"/>
          <w:szCs w:val="32"/>
          <w:lang w:val="en-US" w:eastAsia="zh-CN"/>
        </w:rPr>
        <w:t>建设</w:t>
      </w:r>
      <w:r>
        <w:rPr>
          <w:rFonts w:hint="eastAsia" w:ascii="仿宋_GB2312" w:eastAsia="仿宋_GB2312"/>
          <w:sz w:val="32"/>
          <w:szCs w:val="32"/>
        </w:rPr>
        <w:t>主体依法参与林</w:t>
      </w:r>
      <w:r>
        <w:rPr>
          <w:rFonts w:hint="eastAsia" w:ascii="仿宋_GB2312" w:eastAsia="仿宋_GB2312"/>
          <w:sz w:val="32"/>
          <w:szCs w:val="32"/>
          <w:lang w:val="en-US" w:eastAsia="zh-CN"/>
        </w:rPr>
        <w:t>权</w:t>
      </w:r>
      <w:r>
        <w:rPr>
          <w:rFonts w:hint="eastAsia" w:ascii="仿宋_GB2312" w:eastAsia="仿宋_GB2312"/>
          <w:sz w:val="32"/>
          <w:szCs w:val="32"/>
        </w:rPr>
        <w:t>流转工作。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仿宋_GB2312" w:eastAsia="仿宋_GB2312"/>
          <w:sz w:val="32"/>
          <w:szCs w:val="32"/>
        </w:rPr>
      </w:pPr>
      <w:r>
        <w:rPr>
          <w:rFonts w:hint="eastAsia" w:ascii="楷体_GB2312" w:eastAsia="楷体_GB2312"/>
          <w:b/>
          <w:sz w:val="32"/>
          <w:szCs w:val="32"/>
          <w:lang w:eastAsia="zh-CN"/>
        </w:rPr>
        <w:t>（</w:t>
      </w:r>
      <w:r>
        <w:rPr>
          <w:rFonts w:hint="eastAsia" w:ascii="楷体_GB2312" w:eastAsia="楷体_GB2312"/>
          <w:b/>
          <w:sz w:val="32"/>
          <w:szCs w:val="32"/>
        </w:rPr>
        <w:t>三</w:t>
      </w:r>
      <w:r>
        <w:rPr>
          <w:rFonts w:hint="eastAsia" w:ascii="楷体_GB2312" w:eastAsia="楷体_GB2312"/>
          <w:b/>
          <w:sz w:val="32"/>
          <w:szCs w:val="32"/>
          <w:lang w:eastAsia="zh-CN"/>
        </w:rPr>
        <w:t>）</w:t>
      </w:r>
      <w:r>
        <w:rPr>
          <w:rFonts w:hint="eastAsia" w:ascii="楷体_GB2312" w:eastAsia="楷体_GB2312"/>
          <w:b/>
          <w:sz w:val="32"/>
          <w:szCs w:val="32"/>
          <w:lang w:val="en-US" w:eastAsia="zh-CN"/>
        </w:rPr>
        <w:t>项目公司：</w:t>
      </w:r>
      <w:r>
        <w:rPr>
          <w:rFonts w:hint="eastAsia" w:ascii="仿宋_GB2312" w:eastAsia="仿宋_GB2312"/>
          <w:sz w:val="32"/>
          <w:szCs w:val="32"/>
        </w:rPr>
        <w:t>参与项目林</w:t>
      </w:r>
      <w:r>
        <w:rPr>
          <w:rFonts w:hint="eastAsia" w:ascii="仿宋_GB2312" w:eastAsia="仿宋_GB2312"/>
          <w:sz w:val="32"/>
          <w:szCs w:val="32"/>
          <w:lang w:val="en-US" w:eastAsia="zh-CN"/>
        </w:rPr>
        <w:t>权</w:t>
      </w:r>
      <w:r>
        <w:rPr>
          <w:rFonts w:hint="eastAsia" w:ascii="仿宋_GB2312" w:eastAsia="仿宋_GB2312"/>
          <w:sz w:val="32"/>
          <w:szCs w:val="32"/>
        </w:rPr>
        <w:t>流转政策宣传、解释，限额承担</w:t>
      </w:r>
      <w:r>
        <w:rPr>
          <w:rFonts w:hint="eastAsia" w:ascii="仿宋_GB2312" w:eastAsia="仿宋_GB2312"/>
          <w:sz w:val="32"/>
          <w:szCs w:val="32"/>
          <w:lang w:val="en-US" w:eastAsia="zh-CN"/>
        </w:rPr>
        <w:t>林权</w:t>
      </w:r>
      <w:r>
        <w:rPr>
          <w:rFonts w:hint="eastAsia" w:ascii="仿宋_GB2312" w:eastAsia="仿宋_GB2312"/>
          <w:sz w:val="32"/>
          <w:szCs w:val="32"/>
        </w:rPr>
        <w:t>流转</w:t>
      </w:r>
      <w:r>
        <w:rPr>
          <w:rFonts w:hint="eastAsia" w:ascii="仿宋_GB2312" w:eastAsia="仿宋_GB2312"/>
          <w:sz w:val="32"/>
          <w:szCs w:val="32"/>
          <w:lang w:val="en-US" w:eastAsia="zh-CN"/>
        </w:rPr>
        <w:t>等</w:t>
      </w:r>
      <w:r>
        <w:rPr>
          <w:rFonts w:hint="eastAsia" w:ascii="仿宋_GB2312" w:eastAsia="仿宋_GB2312"/>
          <w:sz w:val="32"/>
          <w:szCs w:val="32"/>
        </w:rPr>
        <w:t>费用，做好流转</w:t>
      </w:r>
      <w:r>
        <w:rPr>
          <w:rFonts w:hint="eastAsia" w:ascii="仿宋_GB2312" w:eastAsia="仿宋_GB2312"/>
          <w:sz w:val="32"/>
          <w:szCs w:val="32"/>
          <w:lang w:val="en-US" w:eastAsia="zh-CN"/>
        </w:rPr>
        <w:t>林地</w:t>
      </w:r>
      <w:r>
        <w:rPr>
          <w:rFonts w:hint="eastAsia" w:ascii="仿宋_GB2312" w:eastAsia="仿宋_GB2312"/>
          <w:sz w:val="32"/>
          <w:szCs w:val="32"/>
        </w:rPr>
        <w:t>的日常经营</w:t>
      </w:r>
      <w:r>
        <w:rPr>
          <w:rFonts w:hint="eastAsia" w:ascii="仿宋_GB2312" w:eastAsia="仿宋_GB2312"/>
          <w:sz w:val="32"/>
          <w:szCs w:val="32"/>
          <w:lang w:val="en-US" w:eastAsia="zh-CN"/>
        </w:rPr>
        <w:t>和</w:t>
      </w:r>
      <w:r>
        <w:rPr>
          <w:rFonts w:hint="eastAsia" w:ascii="仿宋_GB2312" w:eastAsia="仿宋_GB2312"/>
          <w:sz w:val="32"/>
          <w:szCs w:val="32"/>
        </w:rPr>
        <w:t>管护工作</w:t>
      </w:r>
      <w:r>
        <w:rPr>
          <w:rFonts w:hint="eastAsia" w:ascii="仿宋_GB2312" w:eastAsia="仿宋_GB2312"/>
          <w:sz w:val="32"/>
          <w:szCs w:val="32"/>
          <w:lang w:eastAsia="zh-CN"/>
        </w:rPr>
        <w:t>，</w:t>
      </w:r>
      <w:r>
        <w:rPr>
          <w:rFonts w:hint="eastAsia" w:ascii="仿宋_GB2312" w:eastAsia="仿宋_GB2312"/>
          <w:sz w:val="32"/>
          <w:szCs w:val="32"/>
          <w:lang w:val="en-US" w:eastAsia="zh-CN"/>
        </w:rPr>
        <w:t>履行项目经营区施工安全责任、生产经营安全责任、森林防火责任</w:t>
      </w:r>
      <w:r>
        <w:rPr>
          <w:rFonts w:hint="eastAsia" w:ascii="仿宋_GB2312"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80" w:rightChars="-38" w:firstLine="643" w:firstLineChars="200"/>
        <w:textAlignment w:val="auto"/>
        <w:rPr>
          <w:rFonts w:hint="eastAsia" w:ascii="仿宋_GB2312" w:eastAsia="仿宋_GB2312"/>
          <w:sz w:val="32"/>
          <w:szCs w:val="32"/>
          <w:lang w:val="en-US" w:eastAsia="zh-CN"/>
        </w:rPr>
      </w:pPr>
      <w:r>
        <w:rPr>
          <w:rFonts w:hint="eastAsia" w:ascii="楷体_GB2312" w:eastAsia="楷体_GB2312" w:hAnsiTheme="minorHAnsi" w:cstheme="minorBidi"/>
          <w:b/>
          <w:kern w:val="2"/>
          <w:sz w:val="32"/>
          <w:szCs w:val="32"/>
          <w:lang w:val="en-US" w:eastAsia="zh-CN" w:bidi="ar-SA"/>
        </w:rPr>
        <w:t>（四）县不动产登记中心</w:t>
      </w:r>
      <w:r>
        <w:rPr>
          <w:rFonts w:hint="eastAsia" w:ascii="楷体_GB2312" w:eastAsia="楷体_GB2312" w:cstheme="minorBidi"/>
          <w:b/>
          <w:kern w:val="2"/>
          <w:sz w:val="32"/>
          <w:szCs w:val="32"/>
          <w:lang w:val="en-US" w:eastAsia="zh-CN" w:bidi="ar-SA"/>
        </w:rPr>
        <w:t>：</w:t>
      </w:r>
      <w:r>
        <w:rPr>
          <w:rFonts w:hint="eastAsia" w:ascii="仿宋_GB2312" w:eastAsia="仿宋_GB2312"/>
          <w:sz w:val="32"/>
          <w:szCs w:val="32"/>
          <w:lang w:val="en-US" w:eastAsia="zh-CN"/>
        </w:rPr>
        <w:t>负责指导项目公司、项目乡镇（街道）、村（社区）林权流转中的权籍调查、转移登记工作。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四、资金安排</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项目公司根据省林业和草原局批复的意见和县人民政府常务会议审定的国家储备林《建设方案》，做好林权流转市场价格把控。林权流转费用主要用于支付林权流转费、林地测绘费、林地（林木）流转评估核查费、林权流转管理费等，但不得突破核定的林权流转总费用。</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林权流转费用。各项目乡镇（街道）要依据林地（林木）流转质量等级评估报告，实行分类定级定价，不得突破核定的本乡镇（街道）林权流转总费用。项目公司依据合同约定，通过代发银行及时兑付林权流转费。</w:t>
      </w:r>
    </w:p>
    <w:p>
      <w:pPr>
        <w:keepNext w:val="0"/>
        <w:keepLines w:val="0"/>
        <w:pageBreakBefore w:val="0"/>
        <w:widowControl w:val="0"/>
        <w:kinsoku/>
        <w:wordWrap/>
        <w:overflowPunct/>
        <w:topLinePunct w:val="0"/>
        <w:autoSpaceDE/>
        <w:autoSpaceDN/>
        <w:bidi w:val="0"/>
        <w:adjustRightInd/>
        <w:snapToGrid/>
        <w:spacing w:line="560" w:lineRule="exact"/>
        <w:ind w:right="-80" w:rightChars="-38"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（二）林权流转管理费。成功流转林权按20元/亩的标准安排管理费，列入项目建设成本费用。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保障措施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强化组织领导</w:t>
      </w:r>
      <w:r>
        <w:rPr>
          <w:rFonts w:hint="eastAsia" w:ascii="仿宋_GB2312" w:eastAsia="仿宋_GB2312"/>
          <w:sz w:val="32"/>
          <w:szCs w:val="32"/>
        </w:rPr>
        <w:t>。</w:t>
      </w:r>
      <w:r>
        <w:rPr>
          <w:rFonts w:hint="eastAsia" w:ascii="仿宋_GB2312" w:eastAsia="仿宋_GB2312"/>
          <w:sz w:val="32"/>
          <w:szCs w:val="32"/>
          <w:lang w:val="en-US" w:eastAsia="zh-CN"/>
        </w:rPr>
        <w:t>县</w:t>
      </w:r>
      <w:r>
        <w:rPr>
          <w:rFonts w:hint="eastAsia" w:ascii="仿宋_GB2312" w:eastAsia="仿宋_GB2312"/>
          <w:sz w:val="32"/>
          <w:szCs w:val="32"/>
        </w:rPr>
        <w:t>国储林项目建设领导小组及其办公室全面负责国储林项目建设的安排部署、统筹协调、督促指导、检查验收等工作</w:t>
      </w:r>
      <w:r>
        <w:rPr>
          <w:rFonts w:hint="eastAsia" w:ascii="仿宋_GB2312" w:eastAsia="仿宋_GB2312"/>
          <w:sz w:val="32"/>
          <w:szCs w:val="32"/>
          <w:lang w:val="en-US" w:eastAsia="zh-CN"/>
        </w:rPr>
        <w:t>；</w:t>
      </w:r>
      <w:r>
        <w:rPr>
          <w:rFonts w:hint="eastAsia" w:ascii="仿宋_GB2312" w:eastAsia="仿宋_GB2312"/>
          <w:sz w:val="32"/>
          <w:szCs w:val="32"/>
        </w:rPr>
        <w:t>各有关</w:t>
      </w:r>
      <w:r>
        <w:rPr>
          <w:rFonts w:hint="eastAsia" w:ascii="仿宋_GB2312" w:eastAsia="仿宋_GB2312"/>
          <w:sz w:val="32"/>
          <w:szCs w:val="32"/>
          <w:lang w:eastAsia="zh-CN"/>
        </w:rPr>
        <w:t>乡镇（街道）</w:t>
      </w:r>
      <w:r>
        <w:rPr>
          <w:rFonts w:hint="eastAsia" w:ascii="仿宋_GB2312" w:eastAsia="仿宋_GB2312"/>
          <w:sz w:val="32"/>
          <w:szCs w:val="32"/>
        </w:rPr>
        <w:t>、部门要各司其职、各负其责，通力协作、密切配合，确保政</w:t>
      </w:r>
      <w:r>
        <w:rPr>
          <w:rFonts w:hint="eastAsia" w:ascii="仿宋_GB2312" w:eastAsia="仿宋_GB2312"/>
          <w:sz w:val="32"/>
          <w:szCs w:val="32"/>
          <w:lang w:val="en-US" w:eastAsia="zh-CN"/>
        </w:rPr>
        <w:t>令</w:t>
      </w:r>
      <w:r>
        <w:rPr>
          <w:rFonts w:hint="eastAsia" w:ascii="仿宋_GB2312" w:eastAsia="仿宋_GB2312"/>
          <w:sz w:val="32"/>
          <w:szCs w:val="32"/>
        </w:rPr>
        <w:t>畅通、执行有力、工作到位。各有关</w:t>
      </w:r>
      <w:r>
        <w:rPr>
          <w:rFonts w:hint="eastAsia" w:ascii="仿宋_GB2312" w:eastAsia="仿宋_GB2312"/>
          <w:sz w:val="32"/>
          <w:szCs w:val="32"/>
          <w:lang w:eastAsia="zh-CN"/>
        </w:rPr>
        <w:t>乡镇（街道）</w:t>
      </w:r>
      <w:r>
        <w:rPr>
          <w:rFonts w:hint="eastAsia" w:ascii="仿宋_GB2312" w:eastAsia="仿宋_GB2312"/>
          <w:sz w:val="32"/>
          <w:szCs w:val="32"/>
        </w:rPr>
        <w:t>是项目林权流转工作责任主体，</w:t>
      </w:r>
      <w:r>
        <w:rPr>
          <w:rFonts w:hint="eastAsia" w:ascii="仿宋_GB2312" w:eastAsia="仿宋_GB2312"/>
          <w:sz w:val="32"/>
          <w:szCs w:val="32"/>
          <w:lang w:val="en-US" w:eastAsia="zh-CN"/>
        </w:rPr>
        <w:t>成立项目工作专班，</w:t>
      </w:r>
      <w:r>
        <w:rPr>
          <w:rFonts w:hint="eastAsia" w:ascii="仿宋_GB2312" w:eastAsia="仿宋_GB2312"/>
          <w:sz w:val="32"/>
          <w:szCs w:val="32"/>
        </w:rPr>
        <w:t>实行“一把手”负总责、领导分片挂联、干部分户帮联的</w:t>
      </w:r>
      <w:r>
        <w:rPr>
          <w:rFonts w:hint="eastAsia" w:ascii="仿宋_GB2312" w:eastAsia="仿宋_GB2312"/>
          <w:sz w:val="32"/>
          <w:szCs w:val="32"/>
          <w:lang w:val="en-US" w:eastAsia="zh-CN"/>
        </w:rPr>
        <w:t>推进机</w:t>
      </w:r>
      <w:r>
        <w:rPr>
          <w:rFonts w:hint="eastAsia" w:ascii="仿宋_GB2312" w:eastAsia="仿宋_GB2312"/>
          <w:sz w:val="32"/>
          <w:szCs w:val="32"/>
        </w:rPr>
        <w:t>制，层层落实任务，制定周密措施，全力以赴抓落实。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二）强化</w:t>
      </w:r>
      <w:r>
        <w:rPr>
          <w:rFonts w:hint="eastAsia" w:ascii="楷体_GB2312" w:hAnsi="楷体_GB2312" w:eastAsia="楷体_GB2312" w:cs="楷体_GB2312"/>
          <w:b/>
          <w:bCs/>
          <w:sz w:val="32"/>
          <w:szCs w:val="32"/>
        </w:rPr>
        <w:t>宣传</w:t>
      </w:r>
      <w:r>
        <w:rPr>
          <w:rFonts w:hint="eastAsia" w:ascii="楷体_GB2312" w:hAnsi="楷体_GB2312" w:eastAsia="楷体_GB2312" w:cs="楷体_GB2312"/>
          <w:b/>
          <w:bCs/>
          <w:sz w:val="32"/>
          <w:szCs w:val="32"/>
          <w:lang w:val="en-US" w:eastAsia="zh-CN"/>
        </w:rPr>
        <w:t>发动</w:t>
      </w:r>
      <w:r>
        <w:rPr>
          <w:rFonts w:hint="eastAsia" w:ascii="仿宋_GB2312" w:eastAsia="仿宋_GB2312"/>
          <w:sz w:val="32"/>
          <w:szCs w:val="32"/>
        </w:rPr>
        <w:t>。国储林建设是实施资源战略储备、维护国家生态安全、保障国家木材安全的重要载体，是增加农民群众收入、助推乡村振兴的重要举措。各有关</w:t>
      </w:r>
      <w:r>
        <w:rPr>
          <w:rFonts w:hint="eastAsia" w:ascii="仿宋_GB2312" w:eastAsia="仿宋_GB2312"/>
          <w:sz w:val="32"/>
          <w:szCs w:val="32"/>
          <w:lang w:eastAsia="zh-CN"/>
        </w:rPr>
        <w:t>乡镇（街道）</w:t>
      </w:r>
      <w:r>
        <w:rPr>
          <w:rFonts w:hint="eastAsia" w:ascii="仿宋_GB2312" w:eastAsia="仿宋_GB2312"/>
          <w:sz w:val="32"/>
          <w:szCs w:val="32"/>
        </w:rPr>
        <w:t>、部门要把思想和行动统一到</w:t>
      </w:r>
      <w:r>
        <w:rPr>
          <w:rFonts w:hint="eastAsia" w:ascii="仿宋_GB2312" w:eastAsia="仿宋_GB2312"/>
          <w:sz w:val="32"/>
          <w:szCs w:val="32"/>
          <w:lang w:val="en-US" w:eastAsia="zh-CN"/>
        </w:rPr>
        <w:t>县</w:t>
      </w:r>
      <w:r>
        <w:rPr>
          <w:rFonts w:hint="eastAsia" w:ascii="仿宋_GB2312" w:eastAsia="仿宋_GB2312"/>
          <w:sz w:val="32"/>
          <w:szCs w:val="32"/>
        </w:rPr>
        <w:t>委、</w:t>
      </w:r>
      <w:r>
        <w:rPr>
          <w:rFonts w:hint="eastAsia" w:ascii="仿宋_GB2312" w:eastAsia="仿宋_GB2312"/>
          <w:sz w:val="32"/>
          <w:szCs w:val="32"/>
          <w:lang w:val="en-US" w:eastAsia="zh-CN"/>
        </w:rPr>
        <w:t>县</w:t>
      </w:r>
      <w:r>
        <w:rPr>
          <w:rFonts w:hint="eastAsia" w:ascii="仿宋_GB2312" w:eastAsia="仿宋_GB2312"/>
          <w:sz w:val="32"/>
          <w:szCs w:val="32"/>
        </w:rPr>
        <w:t>政府决策部署上来，采取召开干部会、群众会</w:t>
      </w:r>
      <w:r>
        <w:rPr>
          <w:rFonts w:hint="eastAsia" w:ascii="仿宋_GB2312" w:eastAsia="仿宋_GB2312"/>
          <w:sz w:val="32"/>
          <w:szCs w:val="32"/>
          <w:lang w:eastAsia="zh-CN"/>
        </w:rPr>
        <w:t>、</w:t>
      </w:r>
      <w:r>
        <w:rPr>
          <w:rFonts w:hint="eastAsia" w:ascii="仿宋_GB2312" w:eastAsia="仿宋_GB2312"/>
          <w:sz w:val="32"/>
          <w:szCs w:val="32"/>
        </w:rPr>
        <w:t>印发宣传资料等方式，广泛深入宣传发动，引导广大群众积极参与和支持林权流转工作。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80" w:rightChars="-38" w:firstLine="643" w:firstLineChars="200"/>
        <w:textAlignment w:val="auto"/>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强化</w:t>
      </w:r>
      <w:r>
        <w:rPr>
          <w:rFonts w:hint="eastAsia" w:ascii="楷体_GB2312" w:hAnsi="楷体_GB2312" w:eastAsia="楷体_GB2312" w:cs="楷体_GB2312"/>
          <w:b/>
          <w:bCs/>
          <w:sz w:val="32"/>
          <w:szCs w:val="32"/>
        </w:rPr>
        <w:t>考核奖惩</w:t>
      </w:r>
      <w:r>
        <w:rPr>
          <w:rFonts w:hint="eastAsia" w:ascii="仿宋_GB2312" w:eastAsia="仿宋_GB2312"/>
          <w:sz w:val="32"/>
          <w:szCs w:val="32"/>
        </w:rPr>
        <w:t>。国储林项目建设工作纳入相关</w:t>
      </w:r>
      <w:r>
        <w:rPr>
          <w:rFonts w:hint="eastAsia" w:ascii="仿宋_GB2312" w:eastAsia="仿宋_GB2312"/>
          <w:sz w:val="32"/>
          <w:szCs w:val="32"/>
          <w:lang w:eastAsia="zh-CN"/>
        </w:rPr>
        <w:t>乡镇（街道）</w:t>
      </w:r>
      <w:r>
        <w:rPr>
          <w:rFonts w:hint="eastAsia" w:ascii="仿宋_GB2312" w:eastAsia="仿宋_GB2312"/>
          <w:sz w:val="32"/>
          <w:szCs w:val="32"/>
        </w:rPr>
        <w:t>、</w:t>
      </w:r>
      <w:r>
        <w:rPr>
          <w:rFonts w:hint="eastAsia" w:ascii="仿宋_GB2312" w:eastAsia="仿宋_GB2312"/>
          <w:sz w:val="32"/>
          <w:szCs w:val="32"/>
          <w:lang w:val="en-US" w:eastAsia="zh-CN"/>
        </w:rPr>
        <w:t>县</w:t>
      </w:r>
      <w:r>
        <w:rPr>
          <w:rFonts w:hint="eastAsia" w:ascii="仿宋_GB2312" w:eastAsia="仿宋_GB2312"/>
          <w:sz w:val="32"/>
          <w:szCs w:val="32"/>
        </w:rPr>
        <w:t>级相关部门的年度目标。</w:t>
      </w:r>
      <w:r>
        <w:rPr>
          <w:rFonts w:hint="eastAsia" w:ascii="仿宋_GB2312" w:eastAsia="仿宋_GB2312"/>
          <w:sz w:val="32"/>
          <w:szCs w:val="32"/>
          <w:lang w:val="en-US" w:eastAsia="zh-CN"/>
        </w:rPr>
        <w:t>县纪委监委机关、县</w:t>
      </w:r>
      <w:r>
        <w:rPr>
          <w:rFonts w:hint="eastAsia" w:ascii="仿宋_GB2312" w:eastAsia="仿宋_GB2312"/>
          <w:sz w:val="32"/>
          <w:szCs w:val="32"/>
        </w:rPr>
        <w:t>目标绩效</w:t>
      </w:r>
      <w:r>
        <w:rPr>
          <w:rFonts w:hint="eastAsia" w:ascii="仿宋_GB2312" w:eastAsia="仿宋_GB2312"/>
          <w:sz w:val="32"/>
          <w:szCs w:val="32"/>
          <w:lang w:val="en-US" w:eastAsia="zh-CN"/>
        </w:rPr>
        <w:t>办</w:t>
      </w:r>
      <w:r>
        <w:rPr>
          <w:rFonts w:hint="eastAsia" w:ascii="仿宋_GB2312" w:eastAsia="仿宋_GB2312"/>
          <w:sz w:val="32"/>
          <w:szCs w:val="32"/>
        </w:rPr>
        <w:t>、</w:t>
      </w:r>
      <w:r>
        <w:rPr>
          <w:rFonts w:hint="eastAsia" w:ascii="仿宋_GB2312" w:eastAsia="仿宋_GB2312"/>
          <w:sz w:val="32"/>
          <w:szCs w:val="32"/>
          <w:lang w:val="en-US" w:eastAsia="zh-CN"/>
        </w:rPr>
        <w:t>县</w:t>
      </w:r>
      <w:r>
        <w:rPr>
          <w:rFonts w:hint="eastAsia" w:ascii="仿宋_GB2312" w:eastAsia="仿宋_GB2312"/>
          <w:sz w:val="32"/>
          <w:szCs w:val="32"/>
        </w:rPr>
        <w:t>国储林领导小组办公室组成联合督导组</w:t>
      </w:r>
      <w:r>
        <w:rPr>
          <w:rFonts w:hint="eastAsia" w:ascii="仿宋_GB2312" w:eastAsia="仿宋_GB2312"/>
          <w:sz w:val="32"/>
          <w:szCs w:val="32"/>
          <w:lang w:eastAsia="zh-CN"/>
        </w:rPr>
        <w:t>，</w:t>
      </w:r>
      <w:r>
        <w:rPr>
          <w:rFonts w:hint="eastAsia" w:ascii="仿宋_GB2312" w:eastAsia="仿宋_GB2312"/>
          <w:sz w:val="32"/>
          <w:szCs w:val="32"/>
          <w:lang w:val="en-US" w:eastAsia="zh-CN"/>
        </w:rPr>
        <w:t>对照年初制定的任务台账和时间节点，</w:t>
      </w:r>
      <w:r>
        <w:rPr>
          <w:rFonts w:hint="eastAsia" w:ascii="仿宋_GB2312" w:eastAsia="仿宋_GB2312"/>
          <w:sz w:val="32"/>
          <w:szCs w:val="32"/>
        </w:rPr>
        <w:t>定期督查</w:t>
      </w:r>
      <w:r>
        <w:rPr>
          <w:rFonts w:hint="eastAsia" w:ascii="仿宋_GB2312" w:eastAsia="仿宋_GB2312"/>
          <w:sz w:val="32"/>
          <w:szCs w:val="32"/>
          <w:lang w:val="en-US" w:eastAsia="zh-CN"/>
        </w:rPr>
        <w:t>调度</w:t>
      </w:r>
      <w:r>
        <w:rPr>
          <w:rFonts w:hint="eastAsia" w:ascii="仿宋_GB2312" w:eastAsia="仿宋_GB2312"/>
          <w:sz w:val="32"/>
          <w:szCs w:val="32"/>
          <w:lang w:eastAsia="zh-CN"/>
        </w:rPr>
        <w:t>，</w:t>
      </w:r>
      <w:r>
        <w:rPr>
          <w:rFonts w:hint="eastAsia" w:ascii="仿宋_GB2312" w:eastAsia="仿宋_GB2312"/>
          <w:sz w:val="32"/>
          <w:szCs w:val="32"/>
        </w:rPr>
        <w:t>按月通报</w:t>
      </w:r>
      <w:r>
        <w:rPr>
          <w:rFonts w:hint="eastAsia" w:ascii="仿宋_GB2312" w:eastAsia="仿宋_GB2312"/>
          <w:sz w:val="32"/>
          <w:szCs w:val="32"/>
          <w:lang w:eastAsia="zh-CN"/>
        </w:rPr>
        <w:t>；</w:t>
      </w:r>
      <w:r>
        <w:rPr>
          <w:rFonts w:hint="eastAsia" w:ascii="仿宋_GB2312" w:eastAsia="仿宋_GB2312"/>
          <w:sz w:val="32"/>
          <w:szCs w:val="32"/>
        </w:rPr>
        <w:t>对工作</w:t>
      </w:r>
      <w:r>
        <w:rPr>
          <w:rFonts w:hint="eastAsia" w:ascii="仿宋_GB2312" w:eastAsia="仿宋_GB2312"/>
          <w:sz w:val="32"/>
          <w:szCs w:val="32"/>
          <w:lang w:val="en-US" w:eastAsia="zh-CN"/>
        </w:rPr>
        <w:t>滞后</w:t>
      </w:r>
      <w:r>
        <w:rPr>
          <w:rFonts w:hint="eastAsia" w:ascii="仿宋_GB2312" w:eastAsia="仿宋_GB2312"/>
          <w:sz w:val="32"/>
          <w:szCs w:val="32"/>
        </w:rPr>
        <w:t>、影响整体进度的</w:t>
      </w:r>
      <w:r>
        <w:rPr>
          <w:rFonts w:hint="eastAsia" w:ascii="仿宋_GB2312" w:eastAsia="仿宋_GB2312"/>
          <w:sz w:val="32"/>
          <w:szCs w:val="32"/>
          <w:lang w:eastAsia="zh-CN"/>
        </w:rPr>
        <w:t>乡镇（街道）</w:t>
      </w:r>
      <w:r>
        <w:rPr>
          <w:rFonts w:hint="eastAsia" w:ascii="仿宋_GB2312" w:eastAsia="仿宋_GB2312"/>
          <w:sz w:val="32"/>
          <w:szCs w:val="32"/>
        </w:rPr>
        <w:t>、部门进行通报批评</w:t>
      </w:r>
      <w:r>
        <w:rPr>
          <w:rFonts w:hint="eastAsia" w:ascii="仿宋_GB2312" w:eastAsia="仿宋_GB2312"/>
          <w:sz w:val="32"/>
          <w:szCs w:val="32"/>
          <w:lang w:eastAsia="zh-CN"/>
        </w:rPr>
        <w:t>；</w:t>
      </w:r>
      <w:r>
        <w:rPr>
          <w:rFonts w:hint="eastAsia" w:ascii="仿宋_GB2312" w:eastAsia="仿宋_GB2312"/>
          <w:sz w:val="32"/>
          <w:szCs w:val="32"/>
        </w:rPr>
        <w:t>对任务完成好的</w:t>
      </w:r>
      <w:r>
        <w:rPr>
          <w:rFonts w:hint="eastAsia" w:ascii="仿宋_GB2312" w:eastAsia="仿宋_GB2312"/>
          <w:sz w:val="32"/>
          <w:szCs w:val="32"/>
          <w:lang w:eastAsia="zh-CN"/>
        </w:rPr>
        <w:t>乡镇（街道）</w:t>
      </w:r>
      <w:r>
        <w:rPr>
          <w:rFonts w:hint="eastAsia" w:ascii="仿宋_GB2312" w:eastAsia="仿宋_GB2312"/>
          <w:sz w:val="32"/>
          <w:szCs w:val="32"/>
        </w:rPr>
        <w:t>、部门进行通报表扬</w:t>
      </w:r>
      <w:r>
        <w:rPr>
          <w:rFonts w:hint="eastAsia" w:ascii="仿宋_GB2312" w:eastAsia="仿宋_GB2312"/>
          <w:sz w:val="32"/>
          <w:szCs w:val="32"/>
          <w:lang w:val="en-US" w:eastAsia="zh-CN"/>
        </w:rPr>
        <w:t>；</w:t>
      </w:r>
      <w:r>
        <w:rPr>
          <w:rFonts w:hint="eastAsia" w:ascii="仿宋_GB2312" w:eastAsia="仿宋_GB2312"/>
          <w:sz w:val="32"/>
          <w:szCs w:val="32"/>
        </w:rPr>
        <w:t>对履职不到位的相关部门和</w:t>
      </w:r>
      <w:r>
        <w:rPr>
          <w:rFonts w:hint="eastAsia" w:ascii="仿宋_GB2312" w:eastAsia="仿宋_GB2312"/>
          <w:sz w:val="32"/>
          <w:szCs w:val="32"/>
          <w:lang w:eastAsia="zh-CN"/>
        </w:rPr>
        <w:t>乡镇（街道）</w:t>
      </w:r>
      <w:r>
        <w:rPr>
          <w:rFonts w:hint="eastAsia" w:ascii="仿宋_GB2312" w:eastAsia="仿宋_GB2312"/>
          <w:sz w:val="32"/>
          <w:szCs w:val="32"/>
        </w:rPr>
        <w:t>要严肃效能问责。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default"/>
          <w:lang w:val="en-US" w:eastAsia="zh-CN"/>
        </w:rPr>
        <w:br w:type="page"/>
      </w:r>
    </w:p>
    <w:p>
      <w:pPr>
        <w:rPr>
          <w:rFonts w:hint="eastAsia" w:ascii="黑体" w:hAnsi="黑体" w:eastAsia="黑体" w:cs="黑体"/>
          <w:sz w:val="32"/>
          <w:szCs w:val="32"/>
          <w:lang w:val="en-US" w:eastAsia="zh-CN"/>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黑体" w:hAnsi="黑体" w:eastAsia="黑体" w:cs="黑体"/>
          <w:sz w:val="32"/>
          <w:szCs w:val="32"/>
        </w:rPr>
        <w:t>GF-2020-2603</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合同编号：</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集体林权流转合同</w:t>
      </w:r>
    </w:p>
    <w:p>
      <w:pPr>
        <w:jc w:val="center"/>
        <w:rPr>
          <w:rFonts w:hint="eastAsia" w:ascii="方正小标宋简体" w:hAnsi="方正小标宋简体" w:eastAsia="方正小标宋简体" w:cs="方正小标宋简体"/>
          <w:sz w:val="44"/>
          <w:szCs w:val="44"/>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before="1"/>
      </w:pPr>
    </w:p>
    <w:p>
      <w:pPr>
        <w:spacing w:before="1"/>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footerReference r:id="rId3" w:type="default"/>
          <w:pgSz w:w="11907" w:h="16839"/>
          <w:pgMar w:top="2154" w:right="1474" w:bottom="1474" w:left="1474" w:header="0" w:footer="1606" w:gutter="0"/>
          <w:pgNumType w:fmt="decimal"/>
          <w:cols w:equalWidth="0" w:num="1">
            <w:col w:w="8335"/>
          </w:cols>
        </w:sectPr>
      </w:pPr>
    </w:p>
    <w:p>
      <w:pPr>
        <w:spacing w:before="66" w:line="203" w:lineRule="auto"/>
        <w:ind w:left="6" w:leftChars="0" w:hanging="6"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国家林业和草原局</w:t>
      </w:r>
    </w:p>
    <w:p>
      <w:pPr>
        <w:spacing w:before="166" w:line="157" w:lineRule="auto"/>
        <w:ind w:left="0" w:leftChars="0" w:hanging="13"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国家市场监督管理总局</w:t>
      </w:r>
    </w:p>
    <w:p>
      <w:pPr>
        <w:spacing w:line="14"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column"/>
      </w:r>
    </w:p>
    <w:p>
      <w:pPr>
        <w:spacing w:before="278" w:line="203"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制定</w:t>
      </w:r>
    </w:p>
    <w:p>
      <w:pPr>
        <w:spacing w:line="203" w:lineRule="auto"/>
        <w:rPr>
          <w:rFonts w:hint="eastAsia" w:ascii="仿宋_GB2312" w:hAnsi="仿宋_GB2312" w:eastAsia="仿宋_GB2312" w:cs="仿宋_GB2312"/>
          <w:sz w:val="32"/>
          <w:szCs w:val="32"/>
        </w:rPr>
        <w:sectPr>
          <w:type w:val="continuous"/>
          <w:pgSz w:w="11907" w:h="16839"/>
          <w:pgMar w:top="1422" w:right="1785" w:bottom="1775" w:left="1785" w:header="0" w:footer="1606" w:gutter="0"/>
          <w:pgNumType w:fmt="decimal"/>
          <w:cols w:equalWidth="0" w:num="2">
            <w:col w:w="6223" w:space="100"/>
            <w:col w:w="2013"/>
          </w:cols>
        </w:sectPr>
      </w:pPr>
    </w:p>
    <w:p>
      <w:pPr>
        <w:spacing w:line="254" w:lineRule="auto"/>
        <w:rPr>
          <w:rFonts w:hint="eastAsia" w:ascii="仿宋_GB2312" w:hAnsi="仿宋_GB2312" w:eastAsia="仿宋_GB2312" w:cs="仿宋_GB2312"/>
          <w:sz w:val="32"/>
          <w:szCs w:val="32"/>
        </w:rPr>
      </w:pPr>
    </w:p>
    <w:p>
      <w:pPr>
        <w:spacing w:line="254" w:lineRule="auto"/>
        <w:rPr>
          <w:rFonts w:hint="eastAsia" w:ascii="仿宋_GB2312" w:hAnsi="仿宋_GB2312" w:eastAsia="仿宋_GB2312" w:cs="仿宋_GB2312"/>
          <w:sz w:val="32"/>
          <w:szCs w:val="32"/>
        </w:rPr>
      </w:pPr>
    </w:p>
    <w:p>
      <w:pPr>
        <w:keepNext w:val="0"/>
        <w:keepLines w:val="0"/>
        <w:widowControl/>
        <w:suppressLineNumbers w:val="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二○二四年二月</w:t>
      </w:r>
    </w:p>
    <w:p>
      <w:pPr>
        <w:spacing w:line="157" w:lineRule="auto"/>
        <w:rPr>
          <w:rFonts w:hint="eastAsia" w:ascii="仿宋_GB2312" w:hAnsi="仿宋_GB2312" w:eastAsia="仿宋_GB2312" w:cs="仿宋_GB2312"/>
          <w:sz w:val="32"/>
          <w:szCs w:val="32"/>
        </w:rPr>
        <w:sectPr>
          <w:type w:val="continuous"/>
          <w:pgSz w:w="11907" w:h="16839"/>
          <w:pgMar w:top="1422" w:right="1785" w:bottom="1775" w:left="1785" w:header="0" w:footer="1606" w:gutter="0"/>
          <w:pgNumType w:fmt="decimal"/>
          <w:cols w:equalWidth="0" w:num="1">
            <w:col w:w="8335"/>
          </w:cols>
        </w:sect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使 用 说 明</w:t>
      </w:r>
    </w:p>
    <w:p>
      <w:pPr>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一、本合同</w:t>
      </w:r>
      <w:r>
        <w:rPr>
          <w:rFonts w:hint="eastAsia" w:ascii="仿宋_GB2312" w:hAnsi="仿宋_GB2312" w:eastAsia="仿宋_GB2312" w:cs="仿宋_GB2312"/>
          <w:sz w:val="28"/>
          <w:szCs w:val="28"/>
          <w:lang w:val="en-US" w:eastAsia="zh-CN"/>
        </w:rPr>
        <w:t>根据</w:t>
      </w:r>
      <w:r>
        <w:rPr>
          <w:rFonts w:hint="eastAsia" w:ascii="仿宋_GB2312" w:hAnsi="仿宋_GB2312" w:eastAsia="仿宋_GB2312" w:cs="仿宋_GB2312"/>
          <w:sz w:val="28"/>
          <w:szCs w:val="28"/>
        </w:rPr>
        <w:t>国家林业和草原局与国家市场监督管理总局联合制定示范文本</w:t>
      </w:r>
      <w:r>
        <w:rPr>
          <w:rFonts w:hint="eastAsia" w:ascii="仿宋_GB2312" w:hAnsi="仿宋_GB2312" w:eastAsia="仿宋_GB2312" w:cs="仿宋_GB2312"/>
          <w:sz w:val="28"/>
          <w:szCs w:val="28"/>
          <w:lang w:val="en-US" w:eastAsia="zh-CN"/>
        </w:rPr>
        <w:t>修改</w:t>
      </w:r>
      <w:r>
        <w:rPr>
          <w:rFonts w:hint="eastAsia" w:ascii="仿宋_GB2312" w:hAnsi="仿宋_GB2312" w:eastAsia="仿宋_GB2312" w:cs="仿宋_GB2312"/>
          <w:sz w:val="28"/>
          <w:szCs w:val="28"/>
        </w:rPr>
        <w:t>，供</w:t>
      </w:r>
      <w:r>
        <w:rPr>
          <w:rFonts w:hint="eastAsia" w:ascii="仿宋_GB2312" w:hAnsi="仿宋_GB2312" w:eastAsia="仿宋_GB2312" w:cs="仿宋_GB2312"/>
          <w:sz w:val="28"/>
          <w:szCs w:val="28"/>
          <w:lang w:val="en-US" w:eastAsia="zh-CN"/>
        </w:rPr>
        <w:t>南江县国家储备林项目</w:t>
      </w:r>
      <w:r>
        <w:rPr>
          <w:rFonts w:hint="eastAsia" w:ascii="仿宋_GB2312" w:hAnsi="仿宋_GB2312" w:eastAsia="仿宋_GB2312" w:cs="仿宋_GB2312"/>
          <w:sz w:val="28"/>
          <w:szCs w:val="28"/>
        </w:rPr>
        <w:t>集体林权流转当事人签订合同时参照使用。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二、合同签订前，双方当事人应当仔细阅读本合同内容，特别是其中具有选择性、补充性、填充性、修改性的内容；对合同中的专业用词理解不一致的，可向</w:t>
      </w:r>
      <w:r>
        <w:rPr>
          <w:rFonts w:hint="eastAsia" w:ascii="仿宋_GB2312" w:hAnsi="仿宋_GB2312" w:eastAsia="仿宋_GB2312" w:cs="仿宋_GB2312"/>
          <w:sz w:val="28"/>
          <w:szCs w:val="28"/>
          <w:lang w:val="en-US" w:eastAsia="zh-CN"/>
        </w:rPr>
        <w:t>南江县</w:t>
      </w:r>
      <w:r>
        <w:rPr>
          <w:rFonts w:hint="eastAsia" w:ascii="仿宋_GB2312" w:hAnsi="仿宋_GB2312" w:eastAsia="仿宋_GB2312" w:cs="仿宋_GB2312"/>
          <w:sz w:val="28"/>
          <w:szCs w:val="28"/>
        </w:rPr>
        <w:t>林业主管部门咨询。</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三、本合同文本中相关条款后都有空白行，供双方自行约定或者补充约定。双方当事人可以对文本条款的内容进行修改、增补或者删减。合同签订生效后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未被修改的文本印刷文字视为双方同意内容。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四、双方当事人应当结合具体情况选择本合同协议条款中所提供的选择项，在选择项前的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打√。</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五、本合同文本中</w:t>
      </w:r>
      <w:r>
        <w:rPr>
          <w:rFonts w:hint="eastAsia" w:ascii="仿宋_GB2312" w:hAnsi="仿宋_GB2312" w:eastAsia="仿宋_GB2312" w:cs="仿宋_GB2312"/>
          <w:sz w:val="28"/>
          <w:szCs w:val="28"/>
          <w:lang w:eastAsia="zh-CN"/>
        </w:rPr>
        <w:t>涉及的</w:t>
      </w:r>
      <w:r>
        <w:rPr>
          <w:rFonts w:hint="eastAsia" w:ascii="仿宋_GB2312" w:hAnsi="仿宋_GB2312" w:eastAsia="仿宋_GB2312" w:cs="仿宋_GB2312"/>
          <w:sz w:val="28"/>
          <w:szCs w:val="28"/>
        </w:rPr>
        <w:t>选择、填写内容以手写项为优先。</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六、当事人订立合同的，应当在合同书上签字并盖章或者摁手印。</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七、统一社会信用代码，自然人填写身份证号码，市场主体填写市场监管部门赋予的统一社会信用代码，村集体经济组织填写农业农村部门赋予的统一社会信用代码。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八、本合同编号由</w:t>
      </w:r>
      <w:r>
        <w:rPr>
          <w:rFonts w:hint="eastAsia" w:ascii="仿宋_GB2312" w:hAnsi="仿宋_GB2312" w:eastAsia="仿宋_GB2312" w:cs="仿宋_GB2312"/>
          <w:sz w:val="28"/>
          <w:szCs w:val="28"/>
          <w:lang w:val="en-US" w:eastAsia="zh-CN"/>
        </w:rPr>
        <w:t>南江县</w:t>
      </w:r>
      <w:r>
        <w:rPr>
          <w:rFonts w:hint="eastAsia" w:ascii="仿宋_GB2312" w:hAnsi="仿宋_GB2312" w:eastAsia="仿宋_GB2312" w:cs="仿宋_GB2312"/>
          <w:sz w:val="28"/>
          <w:szCs w:val="28"/>
        </w:rPr>
        <w:t>林业主管部门按统一规则填写。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合同编号：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集体林权流转合同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甲方：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统一社会信用代码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法定代表人（负责人）：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身份证号码：</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经营主体类型：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自然人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□农民合作社  □集体经济组织</w:t>
      </w:r>
    </w:p>
    <w:p>
      <w:pPr>
        <w:keepNext w:val="0"/>
        <w:keepLines w:val="0"/>
        <w:pageBreakBefore w:val="0"/>
        <w:widowControl w:val="0"/>
        <w:kinsoku/>
        <w:wordWrap/>
        <w:overflowPunct/>
        <w:topLinePunct w:val="0"/>
        <w:autoSpaceDE/>
        <w:autoSpaceDN/>
        <w:bidi w:val="0"/>
        <w:adjustRightInd/>
        <w:snapToGrid/>
        <w:spacing w:line="480" w:lineRule="exact"/>
        <w:ind w:firstLine="1960" w:firstLineChars="7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□企业法人   □事业法人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□其他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统一社会信用代码：</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法定代表人（负责人）：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经营主体类型：  □自然人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□农民合作社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集体经济组织</w:t>
      </w:r>
    </w:p>
    <w:p>
      <w:pPr>
        <w:keepNext w:val="0"/>
        <w:keepLines w:val="0"/>
        <w:pageBreakBefore w:val="0"/>
        <w:widowControl w:val="0"/>
        <w:kinsoku/>
        <w:wordWrap/>
        <w:overflowPunct/>
        <w:topLinePunct w:val="0"/>
        <w:autoSpaceDE/>
        <w:autoSpaceDN/>
        <w:bidi w:val="0"/>
        <w:adjustRightInd/>
        <w:snapToGrid/>
        <w:spacing w:line="480" w:lineRule="exact"/>
        <w:ind w:firstLine="2240" w:firstLineChars="8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□企业法人   □事业法人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□其他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为规范</w:t>
      </w:r>
      <w:r>
        <w:rPr>
          <w:rFonts w:hint="eastAsia" w:ascii="仿宋_GB2312" w:hAnsi="仿宋_GB2312" w:eastAsia="仿宋_GB2312" w:cs="仿宋_GB2312"/>
          <w:sz w:val="28"/>
          <w:szCs w:val="28"/>
          <w:lang w:val="en-US" w:eastAsia="zh-CN"/>
        </w:rPr>
        <w:t>我县国家储备林项目</w:t>
      </w:r>
      <w:r>
        <w:rPr>
          <w:rFonts w:hint="eastAsia" w:ascii="仿宋_GB2312" w:hAnsi="仿宋_GB2312" w:eastAsia="仿宋_GB2312" w:cs="仿宋_GB2312"/>
          <w:sz w:val="28"/>
          <w:szCs w:val="28"/>
        </w:rPr>
        <w:t>集体林权流转行为，维护流转当事人的合法权益，根据《中华人民共和国农村土地承包法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中华人民共和国森林法》等相关规定，甲乙双方共同协商，在平等自愿的基础上，订立本合同。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第一条 特定术语和规范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合同所称的集体林权流转是指在不改变集体林地所有权、林地用途和公益林、天然林性质的前提下，林权权利人将其依法取得的林木所有权、使用权和林地经营权，依法全部或部分转移给其他公民、法人及其他组织的行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集体林权流转应当遵循依法自愿、公平公正和诚实守信原则，任何组织和个人不得强迫或者阻碍进行林权流转；林权流转不得改变林地所有权的性质和林业用途，不得破坏林业综合生产能力和林业生态环境；流转的期限不得超过合同规定的剩余期限，集体统一经营管理林地流转的期限不得超过70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hint="eastAsia" w:ascii="仿宋_GB2312" w:hAnsi="仿宋_GB2312" w:eastAsia="仿宋_GB2312" w:cs="仿宋_GB2312"/>
          <w:color w:val="auto"/>
          <w:sz w:val="28"/>
          <w:szCs w:val="28"/>
          <w:lang w:eastAsia="zh-CN"/>
        </w:rPr>
        <w:t>乙方</w:t>
      </w:r>
      <w:r>
        <w:rPr>
          <w:rFonts w:hint="eastAsia" w:ascii="仿宋_GB2312" w:hAnsi="仿宋_GB2312" w:eastAsia="仿宋_GB2312" w:cs="仿宋_GB2312"/>
          <w:sz w:val="28"/>
          <w:szCs w:val="28"/>
        </w:rPr>
        <w:t>须有林业经营能力或者资质。工商企业等社会资本通过流转取得土地经营权，应当进行资格审查和项目审核。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（四）林权流转以登记的宗地为最小单元，除流转合同另有约定的，林地上的林木所有权或者使用权应当与林地经营权一并流转。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家庭承包林地的林地经营权流转，承包方可以自主决定依法采取出租（转包）、入股或者其他方式向他人流转林地经营权，并向发包方备案。再次流转林地经营权，应经承包方书面同意（原流转合同有明确同意再流转条款的视为书面同意），并向林地所在的集体经济组织备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（六）通过招标、拍卖、公开协商等其他方式承包获得的，需经依法登记取得林权类证书，方可流转林地经营权，并向发包方备案。再次流转林地经营权，应告知林地所在的集体经济组织。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未实行承包经营的集体林地以及林地上的林木，由农村集体经济组织统一经营。经本集体经济组织成员的村民会议三分之二以上成员或者三分之二以上村民代表同意并公示，可以通过招标、拍卖、公开协商等方式依法流转林地经营权、林木所有权和使用权。再次流转林地经营权，应告知林地所在的集体经济组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（八）林地经营权流转期限为五年以上的，当事人可以向登记机构申请林地经营权登记。未经登记，不得对抗善意第三人。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第二条 流转标的物及流转方式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（一）经自愿协商，甲方将</w:t>
      </w:r>
      <w:r>
        <w:rPr>
          <w:rFonts w:hint="eastAsia" w:ascii="仿宋_GB2312" w:hAnsi="仿宋_GB2312" w:eastAsia="仿宋_GB2312" w:cs="仿宋_GB2312"/>
          <w:sz w:val="28"/>
          <w:szCs w:val="28"/>
          <w:lang w:val="en-US" w:eastAsia="zh-CN"/>
        </w:rPr>
        <w:t>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，共计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宗林地，共计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亩林地（具体</w:t>
      </w:r>
      <w:r>
        <w:rPr>
          <w:rFonts w:hint="eastAsia" w:ascii="仿宋_GB2312" w:hAnsi="仿宋_GB2312" w:eastAsia="仿宋_GB2312" w:cs="仿宋_GB2312"/>
          <w:color w:val="auto"/>
          <w:sz w:val="28"/>
          <w:szCs w:val="28"/>
          <w:u w:val="none"/>
        </w:rPr>
        <w:t>见</w:t>
      </w:r>
      <w:r>
        <w:rPr>
          <w:rFonts w:hint="eastAsia" w:ascii="仿宋_GB2312" w:hAnsi="仿宋_GB2312" w:eastAsia="仿宋_GB2312" w:cs="仿宋_GB2312"/>
          <w:color w:val="auto"/>
          <w:sz w:val="28"/>
          <w:szCs w:val="28"/>
          <w:u w:val="none"/>
          <w:lang w:val="en-US" w:eastAsia="zh-CN"/>
        </w:rPr>
        <w:t>后附的林地权利证书、附表</w:t>
      </w:r>
      <w:r>
        <w:rPr>
          <w:rFonts w:hint="eastAsia" w:ascii="仿宋_GB2312" w:hAnsi="仿宋_GB2312" w:eastAsia="仿宋_GB2312" w:cs="仿宋_GB2312"/>
          <w:color w:val="auto"/>
          <w:sz w:val="28"/>
          <w:szCs w:val="28"/>
          <w:u w:val="none"/>
        </w:rPr>
        <w:t>及附图）</w:t>
      </w:r>
      <w:r>
        <w:rPr>
          <w:rFonts w:hint="eastAsia" w:ascii="仿宋_GB2312" w:hAnsi="仿宋_GB2312" w:eastAsia="仿宋_GB2312" w:cs="仿宋_GB2312"/>
          <w:color w:val="auto"/>
          <w:sz w:val="28"/>
          <w:szCs w:val="28"/>
          <w:u w:val="none"/>
          <w:lang w:val="en-US" w:eastAsia="zh-CN"/>
        </w:rPr>
        <w:t>流转</w:t>
      </w:r>
      <w:r>
        <w:rPr>
          <w:rFonts w:hint="eastAsia" w:ascii="仿宋_GB2312" w:hAnsi="仿宋_GB2312" w:eastAsia="仿宋_GB2312" w:cs="仿宋_GB2312"/>
          <w:color w:val="auto"/>
          <w:sz w:val="28"/>
          <w:szCs w:val="28"/>
          <w:u w:val="none"/>
        </w:rPr>
        <w:t>给乙方，</w:t>
      </w:r>
      <w:r>
        <w:rPr>
          <w:rFonts w:hint="eastAsia" w:ascii="仿宋_GB2312" w:hAnsi="仿宋_GB2312" w:eastAsia="仿宋_GB2312" w:cs="仿宋_GB2312"/>
          <w:color w:val="auto"/>
          <w:sz w:val="28"/>
          <w:szCs w:val="28"/>
          <w:u w:val="none"/>
          <w:lang w:val="en-US" w:eastAsia="zh-CN"/>
        </w:rPr>
        <w:t>流转</w:t>
      </w:r>
      <w:r>
        <w:rPr>
          <w:rFonts w:hint="eastAsia" w:ascii="仿宋_GB2312" w:hAnsi="仿宋_GB2312" w:eastAsia="仿宋_GB2312" w:cs="仿宋_GB2312"/>
          <w:color w:val="auto"/>
          <w:sz w:val="28"/>
          <w:szCs w:val="28"/>
          <w:u w:val="none"/>
        </w:rPr>
        <w:t>期</w:t>
      </w:r>
      <w:r>
        <w:rPr>
          <w:rFonts w:hint="eastAsia" w:ascii="仿宋_GB2312" w:hAnsi="仿宋_GB2312" w:eastAsia="仿宋_GB2312" w:cs="仿宋_GB2312"/>
          <w:sz w:val="28"/>
          <w:szCs w:val="28"/>
        </w:rPr>
        <w:t>限共</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（二）流转林地上的附属建筑和资产情况现状描述：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流转处置方式描述（可另附件）：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（三）甲方应于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日之前将林地林木交付乙方。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第三条  流转价款及支付方式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（一）双方协商确定林地（不含林地上附着林木）经营权流转价款以下列</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种方式进行计价：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1.一次性付款方式。林地经营权流转价款按每年每亩为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元，面积</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亩， 共计为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，支付时间为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2.分期付款方式。共分为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期，每期</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color w:val="auto"/>
          <w:sz w:val="28"/>
          <w:szCs w:val="28"/>
        </w:rPr>
        <w:t>第一期</w:t>
      </w:r>
      <w:r>
        <w:rPr>
          <w:rFonts w:hint="eastAsia" w:ascii="仿宋_GB2312" w:hAnsi="仿宋_GB2312" w:eastAsia="仿宋_GB2312" w:cs="仿宋_GB2312"/>
          <w:color w:val="auto"/>
          <w:sz w:val="28"/>
          <w:szCs w:val="28"/>
          <w:lang w:val="en-US" w:eastAsia="zh-CN"/>
        </w:rPr>
        <w:t>于</w:t>
      </w:r>
      <w:r>
        <w:rPr>
          <w:rFonts w:hint="eastAsia" w:ascii="仿宋_GB2312" w:hAnsi="仿宋_GB2312" w:eastAsia="仿宋_GB2312" w:cs="仿宋_GB2312"/>
          <w:color w:val="auto"/>
          <w:sz w:val="28"/>
          <w:szCs w:val="28"/>
        </w:rPr>
        <w:t>合同生效后</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日内乙方向甲方支付流转价款</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大写</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；第二期</w:t>
      </w:r>
      <w:r>
        <w:rPr>
          <w:rFonts w:hint="eastAsia" w:ascii="仿宋_GB2312" w:hAnsi="仿宋_GB2312" w:eastAsia="仿宋_GB2312" w:cs="仿宋_GB2312"/>
          <w:color w:val="auto"/>
          <w:sz w:val="28"/>
          <w:szCs w:val="28"/>
        </w:rPr>
        <w:t>于</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日前由乙方向甲方林地流转价款</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大写</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；第三期</w:t>
      </w:r>
      <w:r>
        <w:rPr>
          <w:rFonts w:hint="eastAsia" w:ascii="仿宋_GB2312" w:hAnsi="仿宋_GB2312" w:eastAsia="仿宋_GB2312" w:cs="仿宋_GB2312"/>
          <w:color w:val="auto"/>
          <w:sz w:val="28"/>
          <w:szCs w:val="28"/>
        </w:rPr>
        <w:t>于</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日前由乙方向甲方林地流转价款</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大写</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（二）双方协商确定林地</w:t>
      </w:r>
      <w:r>
        <w:rPr>
          <w:rFonts w:hint="eastAsia" w:ascii="仿宋_GB2312" w:hAnsi="仿宋_GB2312" w:eastAsia="仿宋_GB2312" w:cs="仿宋_GB2312"/>
          <w:sz w:val="28"/>
          <w:szCs w:val="28"/>
          <w:lang w:val="en-US" w:eastAsia="zh-CN"/>
        </w:rPr>
        <w:t>上附着</w:t>
      </w:r>
      <w:r>
        <w:rPr>
          <w:rFonts w:hint="eastAsia" w:ascii="仿宋_GB2312" w:hAnsi="仿宋_GB2312" w:eastAsia="仿宋_GB2312" w:cs="仿宋_GB2312"/>
          <w:sz w:val="28"/>
          <w:szCs w:val="28"/>
        </w:rPr>
        <w:t>林</w:t>
      </w:r>
      <w:r>
        <w:rPr>
          <w:rFonts w:hint="eastAsia" w:ascii="仿宋_GB2312" w:hAnsi="仿宋_GB2312" w:eastAsia="仿宋_GB2312" w:cs="仿宋_GB2312"/>
          <w:sz w:val="28"/>
          <w:szCs w:val="28"/>
          <w:lang w:val="en-US" w:eastAsia="zh-CN"/>
        </w:rPr>
        <w:t>木</w:t>
      </w:r>
      <w:r>
        <w:rPr>
          <w:rFonts w:hint="eastAsia" w:ascii="仿宋_GB2312" w:hAnsi="仿宋_GB2312" w:eastAsia="仿宋_GB2312" w:cs="仿宋_GB2312"/>
          <w:sz w:val="28"/>
          <w:szCs w:val="28"/>
        </w:rPr>
        <w:t>流转价款以下列</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种方式进行计价：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1.一次性付款方式。</w:t>
      </w:r>
      <w:r>
        <w:rPr>
          <w:rFonts w:hint="eastAsia" w:ascii="仿宋_GB2312" w:hAnsi="仿宋_GB2312" w:eastAsia="仿宋_GB2312" w:cs="仿宋_GB2312"/>
          <w:color w:val="auto"/>
          <w:sz w:val="28"/>
          <w:szCs w:val="28"/>
          <w:lang w:val="en-US" w:eastAsia="zh-CN"/>
        </w:rPr>
        <w:t>乙方对</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亩林地</w:t>
      </w:r>
      <w:r>
        <w:rPr>
          <w:rFonts w:hint="eastAsia" w:ascii="仿宋_GB2312" w:hAnsi="仿宋_GB2312" w:eastAsia="仿宋_GB2312" w:cs="仿宋_GB2312"/>
          <w:color w:val="auto"/>
          <w:sz w:val="28"/>
          <w:szCs w:val="28"/>
          <w:lang w:val="en-US" w:eastAsia="zh-CN"/>
        </w:rPr>
        <w:t>上附着的现有</w:t>
      </w:r>
      <w:r>
        <w:rPr>
          <w:rFonts w:hint="eastAsia" w:ascii="仿宋_GB2312" w:hAnsi="仿宋_GB2312" w:eastAsia="仿宋_GB2312" w:cs="仿宋_GB2312"/>
          <w:color w:val="auto"/>
          <w:sz w:val="28"/>
          <w:szCs w:val="28"/>
        </w:rPr>
        <w:t>林</w:t>
      </w:r>
      <w:r>
        <w:rPr>
          <w:rFonts w:hint="eastAsia" w:ascii="仿宋_GB2312" w:hAnsi="仿宋_GB2312" w:eastAsia="仿宋_GB2312" w:cs="仿宋_GB2312"/>
          <w:color w:val="auto"/>
          <w:sz w:val="28"/>
          <w:szCs w:val="28"/>
          <w:lang w:val="en-US" w:eastAsia="zh-CN"/>
        </w:rPr>
        <w:t>木</w:t>
      </w:r>
      <w:r>
        <w:rPr>
          <w:rFonts w:hint="eastAsia" w:ascii="仿宋_GB2312" w:hAnsi="仿宋_GB2312" w:eastAsia="仿宋_GB2312" w:cs="仿宋_GB2312"/>
          <w:color w:val="auto"/>
          <w:sz w:val="28"/>
          <w:szCs w:val="28"/>
        </w:rPr>
        <w:t>按每亩</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w:t>
      </w:r>
      <w:r>
        <w:rPr>
          <w:rFonts w:hint="eastAsia" w:ascii="仿宋_GB2312" w:hAnsi="仿宋_GB2312" w:eastAsia="仿宋_GB2312" w:cs="仿宋_GB2312"/>
          <w:color w:val="auto"/>
          <w:sz w:val="28"/>
          <w:szCs w:val="28"/>
          <w:lang w:val="en-US" w:eastAsia="zh-CN"/>
        </w:rPr>
        <w:t>的标准</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一次性支付林木流转费</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大写</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，支付时间为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林木流转年限与其林地流转期限同步。流转期间，甲方不再享受林木所有权、处分权</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收益分成</w:t>
      </w:r>
      <w:r>
        <w:rPr>
          <w:rFonts w:hint="eastAsia" w:ascii="仿宋_GB2312" w:hAnsi="仿宋_GB2312" w:eastAsia="仿宋_GB2312" w:cs="仿宋_GB2312"/>
          <w:sz w:val="28"/>
          <w:szCs w:val="28"/>
        </w:rPr>
        <w:t>方式。</w:t>
      </w:r>
      <w:r>
        <w:rPr>
          <w:rFonts w:hint="eastAsia" w:ascii="仿宋_GB2312" w:hAnsi="仿宋_GB2312" w:eastAsia="仿宋_GB2312" w:cs="仿宋_GB2312"/>
          <w:color w:val="FF0000"/>
          <w:sz w:val="28"/>
          <w:szCs w:val="28"/>
        </w:rPr>
        <w:t>在签订流转合同时，对林地上附着的现</w:t>
      </w:r>
      <w:r>
        <w:rPr>
          <w:rFonts w:hint="eastAsia" w:ascii="仿宋_GB2312" w:hAnsi="仿宋_GB2312" w:eastAsia="仿宋_GB2312" w:cs="仿宋_GB2312"/>
          <w:color w:val="FF0000"/>
          <w:sz w:val="28"/>
          <w:szCs w:val="28"/>
          <w:lang w:val="en-US" w:eastAsia="zh-CN"/>
        </w:rPr>
        <w:t>有</w:t>
      </w:r>
      <w:r>
        <w:rPr>
          <w:rFonts w:hint="eastAsia" w:ascii="仿宋_GB2312" w:hAnsi="仿宋_GB2312" w:eastAsia="仿宋_GB2312" w:cs="仿宋_GB2312"/>
          <w:color w:val="FF0000"/>
          <w:sz w:val="28"/>
          <w:szCs w:val="28"/>
        </w:rPr>
        <w:t>林木，乙方不向甲方支付其流转费。</w:t>
      </w:r>
      <w:r>
        <w:rPr>
          <w:rFonts w:hint="eastAsia" w:ascii="仿宋_GB2312" w:hAnsi="仿宋_GB2312" w:eastAsia="仿宋_GB2312" w:cs="仿宋_GB2312"/>
          <w:sz w:val="28"/>
          <w:szCs w:val="28"/>
        </w:rPr>
        <w:t>在流转期间，对现有林木采伐</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严格执行储备林作业设计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按销售价值净收益（扣除采伐、运输等成本），甲方占净收益的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原则上按照林农户主占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%、村集体经济合作组织占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%进行利益分配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，乙方占收益的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%进行利益分配。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乙方在流转的林地上新造林木及林下种植按销售价值净收益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扣除前期乙方全部投入、采伐和运输等成本</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甲方占</w:t>
      </w:r>
      <w:r>
        <w:rPr>
          <w:rFonts w:hint="eastAsia" w:ascii="仿宋_GB2312" w:hAnsi="仿宋_GB2312" w:eastAsia="仿宋_GB2312" w:cs="仿宋_GB2312"/>
          <w:sz w:val="28"/>
          <w:szCs w:val="28"/>
        </w:rPr>
        <w:t>净收益的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原则上按照林农户主占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%、村集体经济合作组织占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%进行利益分配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，乙方占收益的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%进行利益分配。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（三）经甲乙双方协商一致：乙方基于甲方在本村实施的国储林项目前景，以现金</w:t>
      </w:r>
      <w:r>
        <w:rPr>
          <w:rFonts w:hint="eastAsia" w:ascii="仿宋_GB2312" w:hAnsi="仿宋_GB2312" w:eastAsia="仿宋_GB2312" w:cs="仿宋_GB2312"/>
          <w:color w:val="FF0000"/>
          <w:sz w:val="28"/>
          <w:szCs w:val="28"/>
          <w:u w:val="single"/>
          <w:lang w:val="en-US" w:eastAsia="zh-CN"/>
        </w:rPr>
        <w:t xml:space="preserve">        </w:t>
      </w:r>
      <w:r>
        <w:rPr>
          <w:rFonts w:hint="eastAsia" w:ascii="仿宋_GB2312" w:hAnsi="仿宋_GB2312" w:eastAsia="仿宋_GB2312" w:cs="仿宋_GB2312"/>
          <w:color w:val="FF0000"/>
          <w:sz w:val="28"/>
          <w:szCs w:val="28"/>
          <w:lang w:val="en-US" w:eastAsia="zh-CN"/>
        </w:rPr>
        <w:t>元（大写</w:t>
      </w:r>
      <w:r>
        <w:rPr>
          <w:rFonts w:hint="eastAsia" w:ascii="仿宋_GB2312" w:hAnsi="仿宋_GB2312" w:eastAsia="仿宋_GB2312" w:cs="仿宋_GB2312"/>
          <w:color w:val="FF0000"/>
          <w:sz w:val="28"/>
          <w:szCs w:val="28"/>
          <w:u w:val="single"/>
          <w:lang w:val="en-US" w:eastAsia="zh-CN"/>
        </w:rPr>
        <w:t xml:space="preserve">         </w:t>
      </w:r>
      <w:r>
        <w:rPr>
          <w:rFonts w:hint="eastAsia" w:ascii="仿宋_GB2312" w:hAnsi="仿宋_GB2312" w:eastAsia="仿宋_GB2312" w:cs="仿宋_GB2312"/>
          <w:color w:val="FF0000"/>
          <w:sz w:val="28"/>
          <w:szCs w:val="28"/>
          <w:lang w:val="en-US" w:eastAsia="zh-CN"/>
        </w:rPr>
        <w:t>元）投资入股甲方在本村实施国储林项目。待本村国储林项目收益分红时，乙方占净收入</w:t>
      </w:r>
      <w:r>
        <w:rPr>
          <w:rFonts w:hint="eastAsia" w:ascii="仿宋_GB2312" w:hAnsi="仿宋_GB2312" w:eastAsia="仿宋_GB2312" w:cs="仿宋_GB2312"/>
          <w:color w:val="FF0000"/>
          <w:sz w:val="28"/>
          <w:szCs w:val="28"/>
          <w:u w:val="single"/>
          <w:lang w:val="en-US" w:eastAsia="zh-CN"/>
        </w:rPr>
        <w:t xml:space="preserve">   </w:t>
      </w:r>
      <w:r>
        <w:rPr>
          <w:rFonts w:hint="eastAsia" w:ascii="仿宋_GB2312" w:hAnsi="仿宋_GB2312" w:eastAsia="仿宋_GB2312" w:cs="仿宋_GB2312"/>
          <w:color w:val="FF000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第四条 甲方的权利和义务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（一）有权依法获得流转收益，有权要求乙方按合同规定缴交林权流转价款。有权要求乙方依照合同约定的用途合理利用和保护林地。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（二）有权在本合同约定的流转林地期限届满后收回流转林地经营权。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（三）所提供的林地林木权属应清晰、合法，无权属纠纷和经济纠纷。如在流转后发现原转出的林地林木存在权属纠纷或经济纠纷的，甲方应当负责处理并承担相应责任。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（四）提供所流转林地范围的全国统一式样的林权不动产权证书，  并配合乙方依法办理不动产登记相关手续。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（五）不干涉和破坏乙方的正常生产经营活动。</w:t>
      </w:r>
      <w:r>
        <w:rPr>
          <w:rFonts w:hint="eastAsia" w:ascii="仿宋_GB2312" w:hAnsi="仿宋_GB2312" w:eastAsia="仿宋_GB2312" w:cs="仿宋_GB2312"/>
          <w:sz w:val="28"/>
          <w:szCs w:val="28"/>
          <w:lang w:val="en-US" w:eastAsia="zh-CN"/>
        </w:rPr>
        <w:t>督促</w:t>
      </w:r>
      <w:r>
        <w:rPr>
          <w:rFonts w:hint="eastAsia" w:ascii="仿宋_GB2312" w:hAnsi="仿宋_GB2312" w:eastAsia="仿宋_GB2312" w:cs="仿宋_GB2312"/>
          <w:sz w:val="28"/>
          <w:szCs w:val="28"/>
        </w:rPr>
        <w:t>乙方做好护林防火和林区</w:t>
      </w:r>
      <w:r>
        <w:rPr>
          <w:rFonts w:hint="eastAsia" w:ascii="仿宋_GB2312" w:hAnsi="仿宋_GB2312" w:eastAsia="仿宋_GB2312" w:cs="仿宋_GB2312"/>
          <w:sz w:val="28"/>
          <w:szCs w:val="28"/>
          <w:lang w:val="en-US" w:eastAsia="zh-CN"/>
        </w:rPr>
        <w:t>生产经营</w:t>
      </w:r>
      <w:r>
        <w:rPr>
          <w:rFonts w:hint="eastAsia" w:ascii="仿宋_GB2312" w:hAnsi="仿宋_GB2312" w:eastAsia="仿宋_GB2312" w:cs="仿宋_GB2312"/>
          <w:sz w:val="28"/>
          <w:szCs w:val="28"/>
        </w:rPr>
        <w:t>安</w:t>
      </w:r>
      <w:r>
        <w:rPr>
          <w:rFonts w:hint="eastAsia" w:ascii="仿宋_GB2312" w:hAnsi="仿宋_GB2312" w:eastAsia="仿宋_GB2312" w:cs="仿宋_GB2312"/>
          <w:sz w:val="28"/>
          <w:szCs w:val="28"/>
          <w:lang w:val="en-US" w:eastAsia="zh-CN"/>
        </w:rPr>
        <w:t>全</w:t>
      </w:r>
      <w:r>
        <w:rPr>
          <w:rFonts w:hint="eastAsia" w:ascii="仿宋_GB2312" w:hAnsi="仿宋_GB2312" w:eastAsia="仿宋_GB2312" w:cs="仿宋_GB2312"/>
          <w:sz w:val="28"/>
          <w:szCs w:val="28"/>
        </w:rPr>
        <w:t>管理工作。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第五条 乙方的权利和义务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（一）依法享有</w:t>
      </w:r>
      <w:r>
        <w:rPr>
          <w:rFonts w:hint="eastAsia" w:ascii="仿宋_GB2312" w:hAnsi="仿宋_GB2312" w:eastAsia="仿宋_GB2312" w:cs="仿宋_GB2312"/>
          <w:sz w:val="28"/>
          <w:szCs w:val="28"/>
          <w:u w:val="none"/>
          <w:lang w:val="en-US" w:eastAsia="zh-CN"/>
        </w:rPr>
        <w:t>流转</w:t>
      </w:r>
      <w:r>
        <w:rPr>
          <w:rFonts w:hint="eastAsia" w:ascii="仿宋_GB2312" w:hAnsi="仿宋_GB2312" w:eastAsia="仿宋_GB2312" w:cs="仿宋_GB2312"/>
          <w:sz w:val="28"/>
          <w:szCs w:val="28"/>
        </w:rPr>
        <w:t>林地使用、收益</w:t>
      </w:r>
      <w:r>
        <w:rPr>
          <w:rFonts w:hint="eastAsia" w:ascii="仿宋_GB2312" w:hAnsi="仿宋_GB2312" w:eastAsia="仿宋_GB2312" w:cs="仿宋_GB2312"/>
          <w:sz w:val="28"/>
          <w:szCs w:val="28"/>
          <w:u w:val="none"/>
          <w:lang w:eastAsia="zh-CN"/>
        </w:rPr>
        <w:t>、</w:t>
      </w:r>
      <w:r>
        <w:rPr>
          <w:rFonts w:hint="eastAsia" w:ascii="仿宋_GB2312" w:hAnsi="仿宋_GB2312" w:eastAsia="仿宋_GB2312" w:cs="仿宋_GB2312"/>
          <w:sz w:val="28"/>
          <w:szCs w:val="28"/>
          <w:u w:val="none"/>
          <w:lang w:val="en-US" w:eastAsia="zh-CN"/>
        </w:rPr>
        <w:t>改造</w:t>
      </w:r>
      <w:r>
        <w:rPr>
          <w:rFonts w:hint="eastAsia" w:ascii="仿宋_GB2312" w:hAnsi="仿宋_GB2312" w:eastAsia="仿宋_GB2312" w:cs="仿宋_GB2312"/>
          <w:sz w:val="28"/>
          <w:szCs w:val="28"/>
        </w:rPr>
        <w:t>的权利，有权自主组织生产经营和处置产品。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（二）按合同约定及时支付流转价款。如该流转林地被依法征占用的，  有权依法按规定或约定获得相应的补偿。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（三）有权要求甲方协助办理不动产登记相关手续。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（四）应当做好造林培育，其采伐迹地应在当年或者次年内完成造林更新，不得闲置丢荒，并保护好生态环境和水资源。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（五）依法承担护林防火、</w:t>
      </w:r>
      <w:r>
        <w:rPr>
          <w:rFonts w:hint="eastAsia" w:ascii="仿宋_GB2312" w:hAnsi="仿宋_GB2312" w:eastAsia="仿宋_GB2312" w:cs="仿宋_GB2312"/>
          <w:color w:val="FF0000"/>
          <w:sz w:val="28"/>
          <w:szCs w:val="28"/>
          <w:lang w:val="en-US" w:eastAsia="zh-CN"/>
        </w:rPr>
        <w:t>安全生产</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林业有害生物防治责任，保护野生动植物资源工作。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（六）应当严格按照国家和本地林业管理规定开发利用，不得擅自改变林地用途和公益林、天然林性质，不得破坏林业综合生产能力。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第六条 其他约定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u w:val="none"/>
          <w:lang w:eastAsia="zh-CN"/>
        </w:rPr>
        <w:t>甲方</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□同意</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□不同意 </w:t>
      </w:r>
      <w:r>
        <w:rPr>
          <w:rFonts w:hint="eastAsia" w:ascii="仿宋_GB2312" w:hAnsi="仿宋_GB2312" w:eastAsia="仿宋_GB2312" w:cs="仿宋_GB2312"/>
          <w:sz w:val="28"/>
          <w:szCs w:val="28"/>
          <w:lang w:eastAsia="zh-CN"/>
        </w:rPr>
        <w:t>乙方</w:t>
      </w:r>
      <w:r>
        <w:rPr>
          <w:rFonts w:hint="eastAsia" w:ascii="仿宋_GB2312" w:hAnsi="仿宋_GB2312" w:eastAsia="仿宋_GB2312" w:cs="仿宋_GB2312"/>
          <w:sz w:val="28"/>
          <w:szCs w:val="28"/>
        </w:rPr>
        <w:t>依法投资改良土壤，建设林业生产附属、配套设施。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eastAsia="zh-CN"/>
        </w:rPr>
        <w:t>甲方</w:t>
      </w:r>
      <w:r>
        <w:rPr>
          <w:rFonts w:hint="eastAsia" w:ascii="仿宋_GB2312" w:hAnsi="仿宋_GB2312" w:eastAsia="仿宋_GB2312" w:cs="仿宋_GB2312"/>
          <w:sz w:val="28"/>
          <w:szCs w:val="28"/>
        </w:rPr>
        <w:t xml:space="preserve"> □同意</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不同意 </w:t>
      </w:r>
      <w:r>
        <w:rPr>
          <w:rFonts w:hint="eastAsia" w:ascii="仿宋_GB2312" w:hAnsi="仿宋_GB2312" w:eastAsia="仿宋_GB2312" w:cs="仿宋_GB2312"/>
          <w:sz w:val="28"/>
          <w:szCs w:val="28"/>
          <w:lang w:eastAsia="zh-CN"/>
        </w:rPr>
        <w:t>乙方</w:t>
      </w:r>
      <w:r>
        <w:rPr>
          <w:rFonts w:hint="eastAsia" w:ascii="仿宋_GB2312" w:hAnsi="仿宋_GB2312" w:eastAsia="仿宋_GB2312" w:cs="仿宋_GB2312"/>
          <w:sz w:val="28"/>
          <w:szCs w:val="28"/>
        </w:rPr>
        <w:t>再次流转林权。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lang w:eastAsia="zh-CN"/>
        </w:rPr>
        <w:t>甲方</w:t>
      </w:r>
      <w:r>
        <w:rPr>
          <w:rFonts w:hint="eastAsia" w:ascii="仿宋_GB2312" w:hAnsi="仿宋_GB2312" w:eastAsia="仿宋_GB2312" w:cs="仿宋_GB2312"/>
          <w:sz w:val="28"/>
          <w:szCs w:val="28"/>
        </w:rPr>
        <w:t xml:space="preserve"> □同意 □不同意 </w:t>
      </w:r>
      <w:r>
        <w:rPr>
          <w:rFonts w:hint="eastAsia" w:ascii="仿宋_GB2312" w:hAnsi="仿宋_GB2312" w:eastAsia="仿宋_GB2312" w:cs="仿宋_GB2312"/>
          <w:sz w:val="28"/>
          <w:szCs w:val="28"/>
          <w:lang w:eastAsia="zh-CN"/>
        </w:rPr>
        <w:t>乙方</w:t>
      </w:r>
      <w:r>
        <w:rPr>
          <w:rFonts w:hint="eastAsia" w:ascii="仿宋_GB2312" w:hAnsi="仿宋_GB2312" w:eastAsia="仿宋_GB2312" w:cs="仿宋_GB2312"/>
          <w:sz w:val="28"/>
          <w:szCs w:val="28"/>
        </w:rPr>
        <w:t>将受让的林权向金融机构进行融资担保。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（四）本合同期限内，若国家其他重点项目建设征占用林地，林地征占用补偿费应先支付项目实施主体已付的流转费，剩余部分再支付给原林权所有权人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林木补偿费则直接支付给项目实施主体</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项目实施主体应按协议确定的流转收储方式对林木补偿费进行分配。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（五）其他约定事项（可另附件）：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ins w:id="0" w:author="依然" w:date="2024-02-28T08:20:29Z"/>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如果乙方利用流转的林地开展特色经营活动，包括但不限于引进高价值林种培育、发展其他配套植物栽种或动物养殖等林下经济、碳汇交易的，相应的经营收益和亏损由乙方自行承担；如果需要甲方提供劳务等合作的，双方另行签订合同。</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single"/>
          <w:lang w:val="en-US" w:eastAsia="zh-CN"/>
        </w:rPr>
        <w:t xml:space="preserve">                                                           </w:t>
      </w:r>
      <w:ins w:id="1" w:author="依然" w:date="2024-02-28T08:21:21Z">
        <w:r>
          <w:rPr>
            <w:rFonts w:hint="eastAsia" w:ascii="仿宋_GB2312" w:hAnsi="仿宋_GB2312" w:eastAsia="仿宋_GB2312" w:cs="仿宋_GB2312"/>
            <w:sz w:val="28"/>
            <w:szCs w:val="28"/>
            <w:u w:val="single"/>
            <w:lang w:val="en-US" w:eastAsia="zh-CN"/>
          </w:rPr>
          <w:t xml:space="preserve"> </w:t>
        </w:r>
      </w:ins>
      <w:r>
        <w:rPr>
          <w:rFonts w:hint="eastAsia" w:ascii="仿宋_GB2312" w:hAnsi="仿宋_GB2312" w:eastAsia="仿宋_GB2312" w:cs="仿宋_GB2312"/>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第七条 合同的变更、解除和终止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合同有效期间，因不可抗力因素致使合同全部不能履行时，本合同自动终止，甲方将合同终止日至流转到期日的期限内已收取的林权流转款退还给乙方；致使合同部分不能履行的，其他部分继续履行，流转价款作相应调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（二）合同期满后，如乙方继续经营该流转林地，必须在合同期满前90日内书面向甲方提出申请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如甲方收到申请后，在15日内无任何回复的，视为同意乙方的申请</w:t>
      </w:r>
      <w:r>
        <w:rPr>
          <w:rFonts w:hint="eastAsia" w:ascii="仿宋_GB2312" w:hAnsi="仿宋_GB2312" w:eastAsia="仿宋_GB2312" w:cs="仿宋_GB2312"/>
          <w:sz w:val="28"/>
          <w:szCs w:val="28"/>
        </w:rPr>
        <w:t>。如乙方不再继续流转经营，在合同期满后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日内将原流转的林地交还给甲方。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（三）合同期满后，该流转林地范围内留置林木的处置方式：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与有权收回该流转林权的权利人协商展期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年，支付价款或实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物</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□经有森林资源资产评估资质的第三方评估后，由有权收回流转林权的主体收买。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□由有权收回流转林权的主体无偿收回。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（四）合同期满后，流转期间</w:t>
      </w:r>
      <w:r>
        <w:rPr>
          <w:rFonts w:hint="eastAsia" w:ascii="仿宋_GB2312" w:hAnsi="仿宋_GB2312" w:eastAsia="仿宋_GB2312" w:cs="仿宋_GB2312"/>
          <w:sz w:val="28"/>
          <w:szCs w:val="28"/>
          <w:lang w:eastAsia="zh-CN"/>
        </w:rPr>
        <w:t>乙方</w:t>
      </w:r>
      <w:r>
        <w:rPr>
          <w:rFonts w:hint="eastAsia" w:ascii="仿宋_GB2312" w:hAnsi="仿宋_GB2312" w:eastAsia="仿宋_GB2312" w:cs="仿宋_GB2312"/>
          <w:sz w:val="28"/>
          <w:szCs w:val="28"/>
        </w:rPr>
        <w:t>投资建设的附属设施处置方式：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由有权收回流转林权的主体无偿处置。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□经有资质的第三方评估，由有权收回流转林权支付价款购买。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因合同的变更、解除或终止情形发生涉及产权变动的，当事人应当及时办理不动产登记相关手续。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第八条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违约责任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（一）任何一方违约给对方造成损失的，违约方应承担赔偿责任。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（二）甲方应按合同规定按时向乙方交付林地，逾期一日应向乙方支付应缴纳的流转价款的</w:t>
      </w:r>
      <w:r>
        <w:rPr>
          <w:rFonts w:hint="eastAsia" w:ascii="仿宋_GB2312" w:hAnsi="仿宋_GB2312" w:eastAsia="仿宋_GB2312" w:cs="仿宋_GB2312"/>
          <w:sz w:val="28"/>
          <w:szCs w:val="28"/>
          <w:lang w:val="en-US" w:eastAsia="zh-CN"/>
        </w:rPr>
        <w:t>0.3</w:t>
      </w:r>
      <w:r>
        <w:rPr>
          <w:rFonts w:hint="eastAsia" w:ascii="仿宋_GB2312" w:hAnsi="仿宋_GB2312" w:eastAsia="仿宋_GB2312" w:cs="仿宋_GB2312"/>
          <w:sz w:val="28"/>
          <w:szCs w:val="28"/>
        </w:rPr>
        <w:t>‰作为违约金。逾期超过</w:t>
      </w:r>
      <w:r>
        <w:rPr>
          <w:rFonts w:hint="eastAsia" w:ascii="仿宋_GB2312" w:hAnsi="仿宋_GB2312" w:eastAsia="仿宋_GB2312" w:cs="仿宋_GB2312"/>
          <w:sz w:val="28"/>
          <w:szCs w:val="28"/>
          <w:u w:val="none"/>
          <w:lang w:val="en-US" w:eastAsia="zh-CN"/>
        </w:rPr>
        <w:t>30</w:t>
      </w:r>
      <w:r>
        <w:rPr>
          <w:rFonts w:hint="eastAsia" w:ascii="仿宋_GB2312" w:hAnsi="仿宋_GB2312" w:eastAsia="仿宋_GB2312" w:cs="仿宋_GB2312"/>
          <w:sz w:val="28"/>
          <w:szCs w:val="28"/>
        </w:rPr>
        <w:t>日，乙方有权解除合同，甲方承担违约责任。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（三）甲方流转的林地手续不合法，或林地林木权属不清产生纠纷，致使合同全部或部分不能履行，甲方应承担违约责任。甲方违反合同约定擅自干涉和破坏乙方的生产经营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致使乙方无法进行正常的生产经营活动的，乙方有权解除合同，甲方应承担违约责任。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（四）乙方应按照合同规定按时足额向甲方支付林地林木流转价款，逾期一日乙方应向甲方支付本期（年）应付流转价款的</w:t>
      </w:r>
      <w:r>
        <w:rPr>
          <w:rFonts w:hint="eastAsia" w:ascii="仿宋_GB2312" w:hAnsi="仿宋_GB2312" w:eastAsia="仿宋_GB2312" w:cs="仿宋_GB2312"/>
          <w:sz w:val="28"/>
          <w:szCs w:val="28"/>
          <w:lang w:val="en-US" w:eastAsia="zh-CN"/>
        </w:rPr>
        <w:t>0.1</w:t>
      </w:r>
      <w:r>
        <w:rPr>
          <w:rFonts w:hint="eastAsia" w:ascii="仿宋_GB2312" w:hAnsi="仿宋_GB2312" w:eastAsia="仿宋_GB2312" w:cs="仿宋_GB2312"/>
          <w:sz w:val="28"/>
          <w:szCs w:val="28"/>
        </w:rPr>
        <w:t>‰作为违约金。逾期超过</w:t>
      </w:r>
      <w:r>
        <w:rPr>
          <w:rFonts w:hint="eastAsia" w:ascii="仿宋_GB2312" w:hAnsi="仿宋_GB2312" w:eastAsia="仿宋_GB2312" w:cs="仿宋_GB2312"/>
          <w:sz w:val="28"/>
          <w:szCs w:val="28"/>
          <w:u w:val="none"/>
          <w:lang w:val="en-US" w:eastAsia="zh-CN"/>
        </w:rPr>
        <w:t>90</w:t>
      </w:r>
      <w:r>
        <w:rPr>
          <w:rFonts w:hint="eastAsia" w:ascii="仿宋_GB2312" w:hAnsi="仿宋_GB2312" w:eastAsia="仿宋_GB2312" w:cs="仿宋_GB2312"/>
          <w:sz w:val="28"/>
          <w:szCs w:val="28"/>
        </w:rPr>
        <w:t>日，甲方有权解除合同，乙方应承担违约责任。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（五）自宜林地造林绿化约定期满</w:t>
      </w:r>
      <w:r>
        <w:rPr>
          <w:rFonts w:hint="eastAsia" w:ascii="仿宋_GB2312" w:hAnsi="仿宋_GB2312" w:eastAsia="仿宋_GB2312" w:cs="仿宋_GB2312"/>
          <w:sz w:val="28"/>
          <w:szCs w:val="28"/>
          <w:u w:val="none"/>
          <w:lang w:val="en-US" w:eastAsia="zh-CN"/>
        </w:rPr>
        <w:t>180</w:t>
      </w:r>
      <w:r>
        <w:rPr>
          <w:rFonts w:hint="eastAsia" w:ascii="仿宋_GB2312" w:hAnsi="仿宋_GB2312" w:eastAsia="仿宋_GB2312" w:cs="仿宋_GB2312"/>
          <w:sz w:val="28"/>
          <w:szCs w:val="28"/>
        </w:rPr>
        <w:t>日后，乙方不履行造林绿化约定的，甲方有权无偿收回未造林绿化的林地。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ins w:id="2" w:author="THT" w:date="2024-02-27T16:57:00Z"/>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（六）乙方给流转林地造成永久性损害，或者擅自改变林地用途或者造成森林资源严重破坏，经县级以上林业主管部门确认后，甲方有权要求乙方赔偿违约损失、有权解除合同，收回该林地经营使用权。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七）因为国家、省、市、县的有关政策或者法律法规调整，导致本合同的履行条件和基础变化的，甲乙双方应本着公平的原则协商处理；如果无法协商且合同无法继续履行的，双方均有权解除合同，且不承担违约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第九条 合同争议的解决方式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本合同的订立、效力、履行、变更及终止等发生争议时，双方当事人可以通过协商解决，也可以请求</w:t>
      </w:r>
      <w:r>
        <w:rPr>
          <w:rFonts w:hint="eastAsia" w:ascii="仿宋_GB2312" w:hAnsi="仿宋_GB2312" w:eastAsia="仿宋_GB2312" w:cs="仿宋_GB2312"/>
          <w:sz w:val="28"/>
          <w:szCs w:val="28"/>
          <w:lang w:val="en-US" w:eastAsia="zh-CN"/>
        </w:rPr>
        <w:t>所在</w:t>
      </w:r>
      <w:r>
        <w:rPr>
          <w:rFonts w:hint="eastAsia" w:ascii="仿宋_GB2312" w:hAnsi="仿宋_GB2312" w:eastAsia="仿宋_GB2312" w:cs="仿宋_GB2312"/>
          <w:sz w:val="28"/>
          <w:szCs w:val="28"/>
        </w:rPr>
        <w:t>乡（镇）人民政府等调解解决。当事人不愿协商、调解或者协商、调解不成的，约定采用如下方式解决：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□提请当地农村土地仲裁机构仲裁。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向</w:t>
      </w:r>
      <w:r>
        <w:rPr>
          <w:rFonts w:hint="eastAsia" w:ascii="仿宋_GB2312" w:hAnsi="仿宋_GB2312" w:eastAsia="仿宋_GB2312" w:cs="仿宋_GB2312"/>
          <w:sz w:val="28"/>
          <w:szCs w:val="28"/>
          <w:lang w:val="en-US" w:eastAsia="zh-CN"/>
        </w:rPr>
        <w:t>乙方所在地</w:t>
      </w:r>
      <w:r>
        <w:rPr>
          <w:rFonts w:hint="eastAsia" w:ascii="仿宋_GB2312" w:hAnsi="仿宋_GB2312" w:eastAsia="仿宋_GB2312" w:cs="仿宋_GB2312"/>
          <w:sz w:val="28"/>
          <w:szCs w:val="28"/>
        </w:rPr>
        <w:t>的人民法院提起诉讼。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第十条 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（一）本合同未尽事宜，经</w:t>
      </w:r>
      <w:r>
        <w:rPr>
          <w:rFonts w:hint="eastAsia" w:ascii="仿宋_GB2312" w:hAnsi="仿宋_GB2312" w:eastAsia="仿宋_GB2312" w:cs="仿宋_GB2312"/>
          <w:sz w:val="28"/>
          <w:szCs w:val="28"/>
          <w:lang w:eastAsia="zh-CN"/>
        </w:rPr>
        <w:t>甲方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乙方</w:t>
      </w:r>
      <w:r>
        <w:rPr>
          <w:rFonts w:hint="eastAsia" w:ascii="仿宋_GB2312" w:hAnsi="仿宋_GB2312" w:eastAsia="仿宋_GB2312" w:cs="仿宋_GB2312"/>
          <w:sz w:val="28"/>
          <w:szCs w:val="28"/>
        </w:rPr>
        <w:t>协商一致后可签订补充协议。补充协议与本合同具有同等法律效力。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补充条款（可另附件）：</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（二）本合同自当事人签字盖章起生效。本合同一式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份，由</w:t>
      </w:r>
      <w:r>
        <w:rPr>
          <w:rFonts w:hint="eastAsia" w:ascii="仿宋_GB2312" w:hAnsi="仿宋_GB2312" w:eastAsia="仿宋_GB2312" w:cs="仿宋_GB2312"/>
          <w:sz w:val="28"/>
          <w:szCs w:val="28"/>
          <w:lang w:eastAsia="zh-CN"/>
        </w:rPr>
        <w:t>甲方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乙方</w:t>
      </w:r>
      <w:r>
        <w:rPr>
          <w:rFonts w:hint="eastAsia" w:ascii="仿宋_GB2312" w:hAnsi="仿宋_GB2312" w:eastAsia="仿宋_GB2312" w:cs="仿宋_GB2312"/>
          <w:sz w:val="28"/>
          <w:szCs w:val="28"/>
        </w:rPr>
        <w:t>、林地所有权的</w:t>
      </w:r>
      <w:r>
        <w:rPr>
          <w:rFonts w:hint="eastAsia" w:ascii="仿宋_GB2312" w:hAnsi="仿宋_GB2312" w:eastAsia="仿宋_GB2312" w:cs="仿宋_GB2312"/>
          <w:sz w:val="28"/>
          <w:szCs w:val="28"/>
          <w:lang w:val="en-US" w:eastAsia="zh-CN"/>
        </w:rPr>
        <w:t>村民委员会</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乡镇（街道）人民政府、</w:t>
      </w:r>
      <w:r>
        <w:rPr>
          <w:rFonts w:hint="eastAsia" w:ascii="仿宋_GB2312" w:hAnsi="仿宋_GB2312" w:eastAsia="仿宋_GB2312" w:cs="仿宋_GB2312"/>
          <w:sz w:val="28"/>
          <w:szCs w:val="28"/>
        </w:rPr>
        <w:t>县级林业主管部门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不动产登记中心</w:t>
      </w:r>
      <w:r>
        <w:rPr>
          <w:rFonts w:hint="eastAsia" w:ascii="仿宋_GB2312" w:hAnsi="仿宋_GB2312" w:eastAsia="仿宋_GB2312" w:cs="仿宋_GB2312"/>
          <w:sz w:val="28"/>
          <w:szCs w:val="28"/>
        </w:rPr>
        <w:t>各执一份。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甲方盖章（签字）：                乙方盖章（签字）：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法定代表（委托代理人）签字：      法定代表（委托代理人）签字：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签约日期：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签约日期：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附件清单：</w:t>
      </w:r>
    </w:p>
    <w:tbl>
      <w:tblPr>
        <w:tblStyle w:val="8"/>
        <w:tblW w:w="852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4654"/>
        <w:gridCol w:w="1407"/>
        <w:gridCol w:w="818"/>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6" w:hRule="atLeast"/>
        </w:trPr>
        <w:tc>
          <w:tcPr>
            <w:tcW w:w="824" w:type="dxa"/>
            <w:noWrap w:val="0"/>
            <w:vAlign w:val="top"/>
          </w:tcPr>
          <w:p>
            <w:pPr>
              <w:keepNext w:val="0"/>
              <w:keepLines w:val="0"/>
              <w:pageBreakBefore w:val="0"/>
              <w:widowControl w:val="0"/>
              <w:kinsoku/>
              <w:wordWrap/>
              <w:overflowPunct/>
              <w:topLinePunct w:val="0"/>
              <w:autoSpaceDE/>
              <w:autoSpaceDN/>
              <w:bidi w:val="0"/>
              <w:adjustRightInd/>
              <w:snapToGrid/>
              <w:spacing w:before="156" w:line="500" w:lineRule="exact"/>
              <w:ind w:left="121"/>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序号</w:t>
            </w:r>
          </w:p>
        </w:tc>
        <w:tc>
          <w:tcPr>
            <w:tcW w:w="4654" w:type="dxa"/>
            <w:noWrap w:val="0"/>
            <w:vAlign w:val="top"/>
          </w:tcPr>
          <w:p>
            <w:pPr>
              <w:keepNext w:val="0"/>
              <w:keepLines w:val="0"/>
              <w:pageBreakBefore w:val="0"/>
              <w:widowControl w:val="0"/>
              <w:kinsoku/>
              <w:wordWrap/>
              <w:overflowPunct/>
              <w:topLinePunct w:val="0"/>
              <w:autoSpaceDE/>
              <w:autoSpaceDN/>
              <w:bidi w:val="0"/>
              <w:adjustRightInd/>
              <w:snapToGrid/>
              <w:spacing w:before="156" w:line="500" w:lineRule="exact"/>
              <w:ind w:left="131"/>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5"/>
                <w:w w:val="99"/>
                <w:sz w:val="28"/>
                <w:szCs w:val="28"/>
              </w:rPr>
              <w:t>附件名称</w:t>
            </w:r>
          </w:p>
        </w:tc>
        <w:tc>
          <w:tcPr>
            <w:tcW w:w="1407" w:type="dxa"/>
            <w:noWrap w:val="0"/>
            <w:vAlign w:val="top"/>
          </w:tcPr>
          <w:p>
            <w:pPr>
              <w:keepNext w:val="0"/>
              <w:keepLines w:val="0"/>
              <w:pageBreakBefore w:val="0"/>
              <w:widowControl w:val="0"/>
              <w:kinsoku/>
              <w:wordWrap/>
              <w:overflowPunct/>
              <w:topLinePunct w:val="0"/>
              <w:autoSpaceDE/>
              <w:autoSpaceDN/>
              <w:bidi w:val="0"/>
              <w:adjustRightInd/>
              <w:snapToGrid/>
              <w:spacing w:before="157" w:line="500" w:lineRule="exact"/>
              <w:ind w:left="119"/>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是否具备</w:t>
            </w:r>
          </w:p>
        </w:tc>
        <w:tc>
          <w:tcPr>
            <w:tcW w:w="818" w:type="dxa"/>
            <w:noWrap w:val="0"/>
            <w:vAlign w:val="top"/>
          </w:tcPr>
          <w:p>
            <w:pPr>
              <w:keepNext w:val="0"/>
              <w:keepLines w:val="0"/>
              <w:pageBreakBefore w:val="0"/>
              <w:widowControl w:val="0"/>
              <w:kinsoku/>
              <w:wordWrap/>
              <w:overflowPunct/>
              <w:topLinePunct w:val="0"/>
              <w:autoSpaceDE/>
              <w:autoSpaceDN/>
              <w:bidi w:val="0"/>
              <w:adjustRightInd/>
              <w:snapToGrid/>
              <w:spacing w:before="157" w:line="500" w:lineRule="exact"/>
              <w:ind w:left="135"/>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3"/>
                <w:w w:val="98"/>
                <w:sz w:val="28"/>
                <w:szCs w:val="28"/>
              </w:rPr>
              <w:t>页数</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before="157" w:line="500" w:lineRule="exact"/>
              <w:ind w:left="119"/>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6" w:hRule="atLeast"/>
        </w:trPr>
        <w:tc>
          <w:tcPr>
            <w:tcW w:w="824" w:type="dxa"/>
            <w:noWrap w:val="0"/>
            <w:vAlign w:val="top"/>
          </w:tcPr>
          <w:p>
            <w:pPr>
              <w:keepNext w:val="0"/>
              <w:keepLines w:val="0"/>
              <w:pageBreakBefore w:val="0"/>
              <w:widowControl w:val="0"/>
              <w:kinsoku/>
              <w:wordWrap/>
              <w:overflowPunct/>
              <w:topLinePunct w:val="0"/>
              <w:autoSpaceDE/>
              <w:autoSpaceDN/>
              <w:bidi w:val="0"/>
              <w:adjustRightInd/>
              <w:snapToGrid/>
              <w:spacing w:before="182" w:line="500" w:lineRule="exact"/>
              <w:ind w:left="13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654" w:type="dxa"/>
            <w:noWrap w:val="0"/>
            <w:vAlign w:val="top"/>
          </w:tcPr>
          <w:p>
            <w:pPr>
              <w:keepNext w:val="0"/>
              <w:keepLines w:val="0"/>
              <w:pageBreakBefore w:val="0"/>
              <w:widowControl w:val="0"/>
              <w:kinsoku/>
              <w:wordWrap/>
              <w:overflowPunct/>
              <w:topLinePunct w:val="0"/>
              <w:autoSpaceDE/>
              <w:autoSpaceDN/>
              <w:bidi w:val="0"/>
              <w:adjustRightInd/>
              <w:snapToGrid/>
              <w:spacing w:before="151" w:line="500" w:lineRule="exact"/>
              <w:ind w:left="143"/>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lang w:eastAsia="zh-CN"/>
              </w:rPr>
              <w:t>甲方</w:t>
            </w:r>
            <w:r>
              <w:rPr>
                <w:rFonts w:hint="eastAsia" w:ascii="仿宋_GB2312" w:hAnsi="仿宋_GB2312" w:eastAsia="仿宋_GB2312" w:cs="仿宋_GB2312"/>
                <w:spacing w:val="-4"/>
                <w:sz w:val="28"/>
                <w:szCs w:val="28"/>
              </w:rPr>
              <w:t>、</w:t>
            </w:r>
            <w:r>
              <w:rPr>
                <w:rFonts w:hint="eastAsia" w:ascii="仿宋_GB2312" w:hAnsi="仿宋_GB2312" w:eastAsia="仿宋_GB2312" w:cs="仿宋_GB2312"/>
                <w:spacing w:val="-4"/>
                <w:sz w:val="28"/>
                <w:szCs w:val="28"/>
                <w:lang w:eastAsia="zh-CN"/>
              </w:rPr>
              <w:t>乙方</w:t>
            </w:r>
            <w:r>
              <w:rPr>
                <w:rFonts w:hint="eastAsia" w:ascii="仿宋_GB2312" w:hAnsi="仿宋_GB2312" w:eastAsia="仿宋_GB2312" w:cs="仿宋_GB2312"/>
                <w:spacing w:val="-4"/>
                <w:sz w:val="28"/>
                <w:szCs w:val="28"/>
              </w:rPr>
              <w:t>的证件复印件</w:t>
            </w:r>
          </w:p>
        </w:tc>
        <w:tc>
          <w:tcPr>
            <w:tcW w:w="1407"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18"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25"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6" w:hRule="atLeast"/>
        </w:trPr>
        <w:tc>
          <w:tcPr>
            <w:tcW w:w="824" w:type="dxa"/>
            <w:noWrap w:val="0"/>
            <w:vAlign w:val="top"/>
          </w:tcPr>
          <w:p>
            <w:pPr>
              <w:keepNext w:val="0"/>
              <w:keepLines w:val="0"/>
              <w:pageBreakBefore w:val="0"/>
              <w:widowControl w:val="0"/>
              <w:kinsoku/>
              <w:wordWrap/>
              <w:overflowPunct/>
              <w:topLinePunct w:val="0"/>
              <w:autoSpaceDE/>
              <w:autoSpaceDN/>
              <w:bidi w:val="0"/>
              <w:adjustRightInd/>
              <w:snapToGrid/>
              <w:spacing w:before="189" w:line="500" w:lineRule="exact"/>
              <w:ind w:left="119"/>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654" w:type="dxa"/>
            <w:noWrap w:val="0"/>
            <w:vAlign w:val="top"/>
          </w:tcPr>
          <w:p>
            <w:pPr>
              <w:keepNext w:val="0"/>
              <w:keepLines w:val="0"/>
              <w:pageBreakBefore w:val="0"/>
              <w:widowControl w:val="0"/>
              <w:kinsoku/>
              <w:wordWrap/>
              <w:overflowPunct/>
              <w:topLinePunct w:val="0"/>
              <w:autoSpaceDE/>
              <w:autoSpaceDN/>
              <w:bidi w:val="0"/>
              <w:adjustRightInd/>
              <w:snapToGrid/>
              <w:spacing w:before="152" w:line="500" w:lineRule="exact"/>
              <w:ind w:left="11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rPr>
              <w:t>代办授权委托书和证件复印件</w:t>
            </w:r>
          </w:p>
        </w:tc>
        <w:tc>
          <w:tcPr>
            <w:tcW w:w="1407"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18"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25"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trPr>
        <w:tc>
          <w:tcPr>
            <w:tcW w:w="824" w:type="dxa"/>
            <w:noWrap w:val="0"/>
            <w:vAlign w:val="top"/>
          </w:tcPr>
          <w:p>
            <w:pPr>
              <w:keepNext w:val="0"/>
              <w:keepLines w:val="0"/>
              <w:pageBreakBefore w:val="0"/>
              <w:widowControl w:val="0"/>
              <w:kinsoku/>
              <w:wordWrap/>
              <w:overflowPunct/>
              <w:topLinePunct w:val="0"/>
              <w:autoSpaceDE/>
              <w:autoSpaceDN/>
              <w:bidi w:val="0"/>
              <w:adjustRightInd/>
              <w:snapToGrid/>
              <w:spacing w:before="190" w:line="500" w:lineRule="exact"/>
              <w:ind w:left="11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654" w:type="dxa"/>
            <w:noWrap w:val="0"/>
            <w:vAlign w:val="top"/>
          </w:tcPr>
          <w:p>
            <w:pPr>
              <w:keepNext w:val="0"/>
              <w:keepLines w:val="0"/>
              <w:pageBreakBefore w:val="0"/>
              <w:widowControl w:val="0"/>
              <w:kinsoku/>
              <w:wordWrap/>
              <w:overflowPunct/>
              <w:topLinePunct w:val="0"/>
              <w:autoSpaceDE/>
              <w:autoSpaceDN/>
              <w:bidi w:val="0"/>
              <w:adjustRightInd/>
              <w:snapToGrid/>
              <w:spacing w:before="155" w:line="500" w:lineRule="exact"/>
              <w:ind w:left="118"/>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pacing w:val="-2"/>
                <w:sz w:val="28"/>
                <w:szCs w:val="28"/>
                <w:lang w:val="en-US" w:eastAsia="zh-CN"/>
              </w:rPr>
              <w:t>集体林权流转权籍调查汇总表</w:t>
            </w:r>
          </w:p>
        </w:tc>
        <w:tc>
          <w:tcPr>
            <w:tcW w:w="1407"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18"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25"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6" w:hRule="atLeast"/>
        </w:trPr>
        <w:tc>
          <w:tcPr>
            <w:tcW w:w="824" w:type="dxa"/>
            <w:noWrap w:val="0"/>
            <w:vAlign w:val="top"/>
          </w:tcPr>
          <w:p>
            <w:pPr>
              <w:keepNext w:val="0"/>
              <w:keepLines w:val="0"/>
              <w:pageBreakBefore w:val="0"/>
              <w:widowControl w:val="0"/>
              <w:kinsoku/>
              <w:wordWrap/>
              <w:overflowPunct/>
              <w:topLinePunct w:val="0"/>
              <w:autoSpaceDE/>
              <w:autoSpaceDN/>
              <w:bidi w:val="0"/>
              <w:adjustRightInd/>
              <w:snapToGrid/>
              <w:spacing w:before="189" w:line="500" w:lineRule="exact"/>
              <w:ind w:left="11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654" w:type="dxa"/>
            <w:noWrap w:val="0"/>
            <w:vAlign w:val="top"/>
          </w:tcPr>
          <w:p>
            <w:pPr>
              <w:keepNext w:val="0"/>
              <w:keepLines w:val="0"/>
              <w:pageBreakBefore w:val="0"/>
              <w:widowControl w:val="0"/>
              <w:kinsoku/>
              <w:wordWrap/>
              <w:overflowPunct/>
              <w:topLinePunct w:val="0"/>
              <w:autoSpaceDE/>
              <w:autoSpaceDN/>
              <w:bidi w:val="0"/>
              <w:adjustRightInd/>
              <w:snapToGrid/>
              <w:spacing w:before="155" w:line="500" w:lineRule="exact"/>
              <w:ind w:left="118" w:leftChars="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pacing w:val="-2"/>
                <w:sz w:val="28"/>
                <w:szCs w:val="28"/>
                <w:lang w:val="en-US" w:eastAsia="zh-CN"/>
              </w:rPr>
              <w:t>集体林权流转权籍调查登记表</w:t>
            </w:r>
          </w:p>
        </w:tc>
        <w:tc>
          <w:tcPr>
            <w:tcW w:w="1407"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18"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25"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6" w:hRule="atLeast"/>
        </w:trPr>
        <w:tc>
          <w:tcPr>
            <w:tcW w:w="824" w:type="dxa"/>
            <w:noWrap w:val="0"/>
            <w:vAlign w:val="top"/>
          </w:tcPr>
          <w:p>
            <w:pPr>
              <w:keepNext w:val="0"/>
              <w:keepLines w:val="0"/>
              <w:pageBreakBefore w:val="0"/>
              <w:widowControl w:val="0"/>
              <w:kinsoku/>
              <w:wordWrap/>
              <w:overflowPunct/>
              <w:topLinePunct w:val="0"/>
              <w:autoSpaceDE/>
              <w:autoSpaceDN/>
              <w:bidi w:val="0"/>
              <w:adjustRightInd/>
              <w:snapToGrid/>
              <w:spacing w:before="195" w:line="500" w:lineRule="exact"/>
              <w:ind w:left="12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654" w:type="dxa"/>
            <w:noWrap w:val="0"/>
            <w:vAlign w:val="top"/>
          </w:tcPr>
          <w:p>
            <w:pPr>
              <w:keepNext w:val="0"/>
              <w:keepLines w:val="0"/>
              <w:pageBreakBefore w:val="0"/>
              <w:widowControl w:val="0"/>
              <w:kinsoku/>
              <w:wordWrap/>
              <w:overflowPunct/>
              <w:topLinePunct w:val="0"/>
              <w:autoSpaceDE/>
              <w:autoSpaceDN/>
              <w:bidi w:val="0"/>
              <w:adjustRightInd/>
              <w:snapToGrid/>
              <w:spacing w:before="155" w:line="500" w:lineRule="exact"/>
              <w:ind w:left="118" w:leftChars="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pacing w:val="-2"/>
                <w:sz w:val="28"/>
                <w:szCs w:val="28"/>
              </w:rPr>
              <w:t>流转林权权属证明</w:t>
            </w:r>
          </w:p>
        </w:tc>
        <w:tc>
          <w:tcPr>
            <w:tcW w:w="1407"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18"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25"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trPr>
        <w:tc>
          <w:tcPr>
            <w:tcW w:w="824" w:type="dxa"/>
            <w:noWrap w:val="0"/>
            <w:vAlign w:val="top"/>
          </w:tcPr>
          <w:p>
            <w:pPr>
              <w:keepNext w:val="0"/>
              <w:keepLines w:val="0"/>
              <w:pageBreakBefore w:val="0"/>
              <w:widowControl w:val="0"/>
              <w:kinsoku/>
              <w:wordWrap/>
              <w:overflowPunct/>
              <w:topLinePunct w:val="0"/>
              <w:autoSpaceDE/>
              <w:autoSpaceDN/>
              <w:bidi w:val="0"/>
              <w:adjustRightInd/>
              <w:snapToGrid/>
              <w:spacing w:before="193" w:line="500" w:lineRule="exact"/>
              <w:ind w:left="11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654" w:type="dxa"/>
            <w:noWrap w:val="0"/>
            <w:vAlign w:val="top"/>
          </w:tcPr>
          <w:p>
            <w:pPr>
              <w:keepNext w:val="0"/>
              <w:keepLines w:val="0"/>
              <w:pageBreakBefore w:val="0"/>
              <w:widowControl w:val="0"/>
              <w:kinsoku/>
              <w:wordWrap/>
              <w:overflowPunct/>
              <w:topLinePunct w:val="0"/>
              <w:autoSpaceDE/>
              <w:autoSpaceDN/>
              <w:bidi w:val="0"/>
              <w:adjustRightInd/>
              <w:snapToGrid/>
              <w:spacing w:before="157" w:line="500" w:lineRule="exact"/>
              <w:ind w:left="115" w:leftChars="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pacing w:val="-2"/>
                <w:sz w:val="28"/>
                <w:szCs w:val="28"/>
              </w:rPr>
              <w:t>村民会议决议书及公示材料</w:t>
            </w:r>
          </w:p>
        </w:tc>
        <w:tc>
          <w:tcPr>
            <w:tcW w:w="1407"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18"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25"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7" w:hRule="atLeast"/>
        </w:trPr>
        <w:tc>
          <w:tcPr>
            <w:tcW w:w="824" w:type="dxa"/>
            <w:noWrap w:val="0"/>
            <w:vAlign w:val="top"/>
          </w:tcPr>
          <w:p>
            <w:pPr>
              <w:keepNext w:val="0"/>
              <w:keepLines w:val="0"/>
              <w:pageBreakBefore w:val="0"/>
              <w:widowControl w:val="0"/>
              <w:kinsoku/>
              <w:wordWrap/>
              <w:overflowPunct/>
              <w:topLinePunct w:val="0"/>
              <w:autoSpaceDE/>
              <w:autoSpaceDN/>
              <w:bidi w:val="0"/>
              <w:adjustRightInd/>
              <w:snapToGrid/>
              <w:spacing w:before="194" w:line="500" w:lineRule="exact"/>
              <w:ind w:left="122"/>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654" w:type="dxa"/>
            <w:noWrap w:val="0"/>
            <w:vAlign w:val="top"/>
          </w:tcPr>
          <w:p>
            <w:pPr>
              <w:keepNext w:val="0"/>
              <w:keepLines w:val="0"/>
              <w:pageBreakBefore w:val="0"/>
              <w:widowControl w:val="0"/>
              <w:kinsoku/>
              <w:wordWrap/>
              <w:overflowPunct/>
              <w:topLinePunct w:val="0"/>
              <w:autoSpaceDE/>
              <w:autoSpaceDN/>
              <w:bidi w:val="0"/>
              <w:adjustRightInd/>
              <w:snapToGrid/>
              <w:spacing w:before="160" w:line="500" w:lineRule="exact"/>
              <w:ind w:left="131" w:leftChars="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pacing w:val="-4"/>
                <w:sz w:val="28"/>
                <w:szCs w:val="28"/>
              </w:rPr>
              <w:t>附属建筑及设施清单</w:t>
            </w:r>
          </w:p>
        </w:tc>
        <w:tc>
          <w:tcPr>
            <w:tcW w:w="1407"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18"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25"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7" w:hRule="atLeast"/>
        </w:trPr>
        <w:tc>
          <w:tcPr>
            <w:tcW w:w="824"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4654"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1407"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18"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25"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trPr>
        <w:tc>
          <w:tcPr>
            <w:tcW w:w="824"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4654"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1407"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18"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25"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6" w:hRule="atLeast"/>
        </w:trPr>
        <w:tc>
          <w:tcPr>
            <w:tcW w:w="824"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4654"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1407"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18"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825" w:type="dxa"/>
            <w:noWrap w:val="0"/>
            <w:vAlign w:val="top"/>
          </w:tcPr>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atLeast"/>
        </w:trPr>
        <w:tc>
          <w:tcPr>
            <w:tcW w:w="85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160" w:line="500" w:lineRule="exact"/>
              <w:ind w:left="122"/>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2"/>
                <w:sz w:val="28"/>
                <w:szCs w:val="28"/>
              </w:rPr>
              <w:t>共计</w:t>
            </w:r>
            <w:r>
              <w:rPr>
                <w:rFonts w:hint="eastAsia" w:ascii="仿宋_GB2312" w:hAnsi="仿宋_GB2312" w:eastAsia="仿宋_GB2312" w:cs="仿宋_GB2312"/>
                <w:spacing w:val="12"/>
                <w:sz w:val="28"/>
                <w:szCs w:val="28"/>
                <w:lang w:val="en-US" w:eastAsia="zh-CN"/>
              </w:rPr>
              <w:t xml:space="preserve">    </w:t>
            </w:r>
            <w:r>
              <w:rPr>
                <w:rFonts w:hint="eastAsia" w:ascii="仿宋_GB2312" w:hAnsi="仿宋_GB2312" w:eastAsia="仿宋_GB2312" w:cs="仿宋_GB2312"/>
                <w:spacing w:val="-12"/>
                <w:sz w:val="28"/>
                <w:szCs w:val="28"/>
              </w:rPr>
              <w:t>份，</w:t>
            </w:r>
            <w:r>
              <w:rPr>
                <w:rFonts w:hint="eastAsia" w:ascii="仿宋_GB2312" w:hAnsi="仿宋_GB2312" w:eastAsia="仿宋_GB2312" w:cs="仿宋_GB2312"/>
                <w:spacing w:val="-12"/>
                <w:sz w:val="28"/>
                <w:szCs w:val="28"/>
                <w:lang w:val="en-US" w:eastAsia="zh-CN"/>
              </w:rPr>
              <w:t xml:space="preserve">    </w:t>
            </w:r>
            <w:r>
              <w:rPr>
                <w:rFonts w:hint="eastAsia" w:ascii="仿宋_GB2312" w:hAnsi="仿宋_GB2312" w:eastAsia="仿宋_GB2312" w:cs="仿宋_GB2312"/>
                <w:spacing w:val="-12"/>
                <w:sz w:val="28"/>
                <w:szCs w:val="28"/>
              </w:rPr>
              <w:t>页</w:t>
            </w:r>
          </w:p>
        </w:tc>
      </w:tr>
    </w:tbl>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default"/>
          <w:lang w:val="en-US" w:eastAsia="zh-CN"/>
        </w:rPr>
      </w:pPr>
      <w:r>
        <w:rPr>
          <w:rFonts w:hint="default"/>
          <w:lang w:val="en-US" w:eastAsia="zh-CN"/>
        </w:rPr>
        <w:br w:type="page"/>
      </w:r>
    </w:p>
    <w:p>
      <w:pPr>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林权流转审核表</w:t>
      </w:r>
    </w:p>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县（区）            第    号</w:t>
      </w:r>
    </w:p>
    <w:tbl>
      <w:tblPr>
        <w:tblStyle w:val="6"/>
        <w:tblW w:w="938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5"/>
        <w:gridCol w:w="1380"/>
        <w:gridCol w:w="1035"/>
        <w:gridCol w:w="900"/>
        <w:gridCol w:w="1230"/>
        <w:gridCol w:w="1245"/>
        <w:gridCol w:w="756"/>
        <w:gridCol w:w="1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9"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业务</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类型</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转让</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继承</w:t>
            </w:r>
          </w:p>
        </w:tc>
        <w:tc>
          <w:tcPr>
            <w:tcW w:w="3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权利人情况</w:t>
            </w: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流出方</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证件</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类型</w:t>
            </w:r>
          </w:p>
        </w:tc>
        <w:tc>
          <w:tcPr>
            <w:tcW w:w="3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证件号码</w:t>
            </w:r>
          </w:p>
        </w:tc>
        <w:tc>
          <w:tcPr>
            <w:tcW w:w="69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共有情况</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单独所有</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共同所有</w:t>
            </w: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按份共有份额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共有人</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姓名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性别</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与流出方关系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身份证件种类</w:t>
            </w: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证  件  号 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流入方</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证件</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类型</w:t>
            </w:r>
          </w:p>
        </w:tc>
        <w:tc>
          <w:tcPr>
            <w:tcW w:w="3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证件号码</w:t>
            </w:r>
          </w:p>
        </w:tc>
        <w:tc>
          <w:tcPr>
            <w:tcW w:w="69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共有情况</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单独所有</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共同所有</w:t>
            </w: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按份共有份额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共有人</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姓名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性别</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与流出方关系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身份证件种类</w:t>
            </w: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证  件  号 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林权权属情况</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坐落</w:t>
            </w:r>
          </w:p>
        </w:tc>
        <w:tc>
          <w:tcPr>
            <w:tcW w:w="69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5"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原证件类型及编号</w:t>
            </w:r>
          </w:p>
        </w:tc>
        <w:tc>
          <w:tcPr>
            <w:tcW w:w="69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both"/>
              <w:textAlignment w:val="center"/>
              <w:rPr>
                <w:rFonts w:hint="default" w:asciiTheme="minorEastAsia" w:hAnsiTheme="minorEastAsia" w:eastAsiaTheme="minorEastAsia" w:cstheme="minorEastAsia"/>
                <w:b w:val="0"/>
                <w:bCs w:val="0"/>
                <w:i w:val="0"/>
                <w:iCs w:val="0"/>
                <w:color w:val="000000"/>
                <w:sz w:val="21"/>
                <w:szCs w:val="21"/>
                <w:u w:val="none"/>
                <w:lang w:val="en-US"/>
              </w:rPr>
            </w:pPr>
            <w:r>
              <w:rPr>
                <w:rFonts w:hint="eastAsia" w:asciiTheme="minorEastAsia" w:hAnsiTheme="minorEastAsia" w:eastAsiaTheme="minorEastAsia" w:cstheme="minorEastAsia"/>
                <w:b w:val="0"/>
                <w:bCs w:val="0"/>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1285875</wp:posOffset>
                  </wp:positionH>
                  <wp:positionV relativeFrom="paragraph">
                    <wp:posOffset>390525</wp:posOffset>
                  </wp:positionV>
                  <wp:extent cx="3009900" cy="0"/>
                  <wp:effectExtent l="0" t="0" r="0" b="0"/>
                  <wp:wrapNone/>
                  <wp:docPr id="7" name="直接连接符_13"/>
                  <wp:cNvGraphicFramePr/>
                  <a:graphic xmlns:a="http://schemas.openxmlformats.org/drawingml/2006/main">
                    <a:graphicData uri="http://schemas.openxmlformats.org/drawingml/2006/picture">
                      <pic:pic xmlns:pic="http://schemas.openxmlformats.org/drawingml/2006/picture">
                        <pic:nvPicPr>
                          <pic:cNvPr id="7" name="直接连接符_13"/>
                          <pic:cNvPicPr/>
                        </pic:nvPicPr>
                        <pic:blipFill>
                          <a:blip r:embed="rId5"/>
                          <a:stretch>
                            <a:fillRect/>
                          </a:stretch>
                        </pic:blipFill>
                        <pic:spPr>
                          <a:xfrm>
                            <a:off x="0" y="0"/>
                            <a:ext cx="3009900" cy="0"/>
                          </a:xfrm>
                          <a:prstGeom prst="rect">
                            <a:avLst/>
                          </a:prstGeom>
                          <a:noFill/>
                          <a:ln>
                            <a:noFill/>
                          </a:ln>
                        </pic:spPr>
                      </pic:pic>
                    </a:graphicData>
                  </a:graphic>
                </wp:anchor>
              </w:drawing>
            </w:r>
            <w:r>
              <w:rPr>
                <w:rFonts w:hint="eastAsia" w:asciiTheme="minorEastAsia" w:hAnsiTheme="minorEastAsia" w:eastAsiaTheme="minorEastAsia" w:cstheme="minorEastAsia"/>
                <w:b w:val="0"/>
                <w:bCs w:val="0"/>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1685925</wp:posOffset>
                  </wp:positionH>
                  <wp:positionV relativeFrom="paragraph">
                    <wp:posOffset>733425</wp:posOffset>
                  </wp:positionV>
                  <wp:extent cx="2790825" cy="0"/>
                  <wp:effectExtent l="0" t="0" r="0" b="0"/>
                  <wp:wrapNone/>
                  <wp:docPr id="8" name="直接连接符_14"/>
                  <wp:cNvGraphicFramePr/>
                  <a:graphic xmlns:a="http://schemas.openxmlformats.org/drawingml/2006/main">
                    <a:graphicData uri="http://schemas.openxmlformats.org/drawingml/2006/picture">
                      <pic:pic xmlns:pic="http://schemas.openxmlformats.org/drawingml/2006/picture">
                        <pic:nvPicPr>
                          <pic:cNvPr id="8" name="直接连接符_14"/>
                          <pic:cNvPicPr/>
                        </pic:nvPicPr>
                        <pic:blipFill>
                          <a:blip r:embed="rId6"/>
                          <a:stretch>
                            <a:fillRect/>
                          </a:stretch>
                        </pic:blipFill>
                        <pic:spPr>
                          <a:xfrm>
                            <a:off x="0" y="0"/>
                            <a:ext cx="2790825" cy="0"/>
                          </a:xfrm>
                          <a:prstGeom prst="rect">
                            <a:avLst/>
                          </a:prstGeom>
                          <a:noFill/>
                          <a:ln>
                            <a:noFill/>
                          </a:ln>
                        </pic:spPr>
                      </pic:pic>
                    </a:graphicData>
                  </a:graphic>
                </wp:anchor>
              </w:draw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林权证，编号：</w:t>
            </w:r>
            <w:r>
              <w:rPr>
                <w:rFonts w:hint="eastAsia" w:asciiTheme="minorEastAsia" w:hAnsiTheme="minorEastAsia" w:eastAsiaTheme="minorEastAsia" w:cstheme="minorEastAsia"/>
                <w:b w:val="0"/>
                <w:bCs w:val="0"/>
                <w:i w:val="0"/>
                <w:iCs w:val="0"/>
                <w:color w:val="000000"/>
                <w:kern w:val="0"/>
                <w:sz w:val="21"/>
                <w:szCs w:val="21"/>
                <w:u w:val="single"/>
                <w:lang w:val="en-US" w:eastAsia="zh-CN" w:bidi="ar"/>
              </w:rPr>
              <w:t xml:space="preserve">                                   </w:t>
            </w:r>
            <w:r>
              <w:rPr>
                <w:rFonts w:hint="eastAsia" w:asciiTheme="minorEastAsia" w:hAnsiTheme="minorEastAsia" w:eastAsiaTheme="minorEastAsia" w:cstheme="minorEastAsia"/>
                <w:b w:val="0"/>
                <w:bCs w:val="0"/>
                <w:i w:val="0"/>
                <w:iCs w:val="0"/>
                <w:color w:val="000000"/>
                <w:kern w:val="0"/>
                <w:sz w:val="21"/>
                <w:szCs w:val="21"/>
                <w:u w:val="singl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 xml:space="preserve">  不动产权证，编号：</w:t>
            </w:r>
            <w:r>
              <w:rPr>
                <w:rFonts w:hint="eastAsia" w:asciiTheme="minorEastAsia" w:hAnsiTheme="minorEastAsia" w:eastAsiaTheme="minorEastAsia" w:cstheme="minorEastAsia"/>
                <w:b w:val="0"/>
                <w:bCs w:val="0"/>
                <w:i w:val="0"/>
                <w:iCs w:val="0"/>
                <w:color w:val="000000"/>
                <w:kern w:val="0"/>
                <w:sz w:val="21"/>
                <w:szCs w:val="21"/>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小地名</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林班</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小班</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面积</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（亩）</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森林</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类别</w:t>
            </w:r>
          </w:p>
        </w:tc>
        <w:tc>
          <w:tcPr>
            <w:tcW w:w="3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林种</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主要</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树种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起源</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林权边界</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四至</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 xml:space="preserve">边界 </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 xml:space="preserve">                    </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 xml:space="preserve">                    </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p>
        </w:tc>
        <w:tc>
          <w:tcPr>
            <w:tcW w:w="69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69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69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69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期限</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林地使用（承包）期限</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61"/>
              <w:jc w:val="center"/>
              <w:textAlignment w:val="center"/>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95250</wp:posOffset>
                  </wp:positionH>
                  <wp:positionV relativeFrom="paragraph">
                    <wp:posOffset>723900</wp:posOffset>
                  </wp:positionV>
                  <wp:extent cx="371475" cy="0"/>
                  <wp:effectExtent l="0" t="0" r="0" b="0"/>
                  <wp:wrapNone/>
                  <wp:docPr id="13" name="直接连接符_24"/>
                  <wp:cNvGraphicFramePr/>
                  <a:graphic xmlns:a="http://schemas.openxmlformats.org/drawingml/2006/main">
                    <a:graphicData uri="http://schemas.openxmlformats.org/drawingml/2006/picture">
                      <pic:pic xmlns:pic="http://schemas.openxmlformats.org/drawingml/2006/picture">
                        <pic:nvPicPr>
                          <pic:cNvPr id="13" name="直接连接符_24"/>
                          <pic:cNvPicPr/>
                        </pic:nvPicPr>
                        <pic:blipFill>
                          <a:blip r:embed="rId7"/>
                          <a:stretch>
                            <a:fillRect/>
                          </a:stretch>
                        </pic:blipFill>
                        <pic:spPr>
                          <a:xfrm>
                            <a:off x="0" y="0"/>
                            <a:ext cx="371475" cy="0"/>
                          </a:xfrm>
                          <a:prstGeom prst="rect">
                            <a:avLst/>
                          </a:prstGeom>
                          <a:noFill/>
                          <a:ln>
                            <a:noFill/>
                          </a:ln>
                        </pic:spPr>
                      </pic:pic>
                    </a:graphicData>
                  </a:graphic>
                </wp:anchor>
              </w:drawing>
            </w:r>
          </w:p>
          <w:p>
            <w:pPr>
              <w:keepNext w:val="0"/>
              <w:keepLines w:val="0"/>
              <w:widowControl/>
              <w:suppressLineNumbers w:val="0"/>
              <w:ind w:firstLine="461"/>
              <w:jc w:val="center"/>
              <w:textAlignment w:val="center"/>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p>
          <w:p>
            <w:pPr>
              <w:keepNext w:val="0"/>
              <w:keepLines w:val="0"/>
              <w:widowControl/>
              <w:suppressLineNumbers w:val="0"/>
              <w:jc w:val="both"/>
              <w:textAlignment w:val="center"/>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p>
          <w:p>
            <w:pPr>
              <w:keepNext w:val="0"/>
              <w:keepLines w:val="0"/>
              <w:widowControl/>
              <w:suppressLineNumbers w:val="0"/>
              <w:jc w:val="both"/>
              <w:textAlignment w:val="center"/>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95250</wp:posOffset>
                  </wp:positionH>
                  <wp:positionV relativeFrom="paragraph">
                    <wp:posOffset>723900</wp:posOffset>
                  </wp:positionV>
                  <wp:extent cx="371475" cy="0"/>
                  <wp:effectExtent l="0" t="0" r="0" b="0"/>
                  <wp:wrapNone/>
                  <wp:docPr id="21" name="直接连接符_24"/>
                  <wp:cNvGraphicFramePr/>
                  <a:graphic xmlns:a="http://schemas.openxmlformats.org/drawingml/2006/main">
                    <a:graphicData uri="http://schemas.openxmlformats.org/drawingml/2006/picture">
                      <pic:pic xmlns:pic="http://schemas.openxmlformats.org/drawingml/2006/picture">
                        <pic:nvPicPr>
                          <pic:cNvPr id="21" name="直接连接符_24"/>
                          <pic:cNvPicPr/>
                        </pic:nvPicPr>
                        <pic:blipFill>
                          <a:blip r:embed="rId7"/>
                          <a:stretch>
                            <a:fillRect/>
                          </a:stretch>
                        </pic:blipFill>
                        <pic:spPr>
                          <a:xfrm>
                            <a:off x="0" y="0"/>
                            <a:ext cx="371475" cy="0"/>
                          </a:xfrm>
                          <a:prstGeom prst="rect">
                            <a:avLst/>
                          </a:prstGeom>
                          <a:noFill/>
                          <a:ln>
                            <a:noFill/>
                          </a:ln>
                        </pic:spPr>
                      </pic:pic>
                    </a:graphicData>
                  </a:graphic>
                </wp:anchor>
              </w:drawing>
            </w:r>
            <w:r>
              <w:rPr>
                <w:rFonts w:hint="eastAsia" w:asciiTheme="minorEastAsia" w:hAnsiTheme="minorEastAsia" w:eastAsiaTheme="minorEastAsia" w:cstheme="minorEastAsia"/>
                <w:b w:val="0"/>
                <w:bCs w:val="0"/>
                <w:i w:val="0"/>
                <w:iCs w:val="0"/>
                <w:color w:val="000000"/>
                <w:kern w:val="0"/>
                <w:sz w:val="21"/>
                <w:szCs w:val="21"/>
                <w:u w:val="singl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247650</wp:posOffset>
                  </wp:positionH>
                  <wp:positionV relativeFrom="paragraph">
                    <wp:posOffset>876300</wp:posOffset>
                  </wp:positionV>
                  <wp:extent cx="371475" cy="0"/>
                  <wp:effectExtent l="0" t="0" r="0" b="0"/>
                  <wp:wrapNone/>
                  <wp:docPr id="22" name="直接连接符_24"/>
                  <wp:cNvGraphicFramePr/>
                  <a:graphic xmlns:a="http://schemas.openxmlformats.org/drawingml/2006/main">
                    <a:graphicData uri="http://schemas.openxmlformats.org/drawingml/2006/picture">
                      <pic:pic xmlns:pic="http://schemas.openxmlformats.org/drawingml/2006/picture">
                        <pic:nvPicPr>
                          <pic:cNvPr id="22" name="直接连接符_24"/>
                          <pic:cNvPicPr/>
                        </pic:nvPicPr>
                        <pic:blipFill>
                          <a:blip r:embed="rId7"/>
                          <a:stretch>
                            <a:fillRect/>
                          </a:stretch>
                        </pic:blipFill>
                        <pic:spPr>
                          <a:xfrm>
                            <a:off x="0" y="0"/>
                            <a:ext cx="371475" cy="0"/>
                          </a:xfrm>
                          <a:prstGeom prst="rect">
                            <a:avLst/>
                          </a:prstGeom>
                          <a:noFill/>
                          <a:ln>
                            <a:noFill/>
                          </a:ln>
                        </pic:spPr>
                      </pic:pic>
                    </a:graphicData>
                  </a:graphic>
                </wp:anchor>
              </w:drawing>
            </w:r>
            <w:r>
              <w:rPr>
                <w:rFonts w:hint="eastAsia" w:asciiTheme="minorEastAsia" w:hAnsiTheme="minorEastAsia" w:eastAsiaTheme="minorEastAsia" w:cstheme="minorEastAsia"/>
                <w:b w:val="0"/>
                <w:bCs w:val="0"/>
                <w:i w:val="0"/>
                <w:iCs w:val="0"/>
                <w:color w:val="000000"/>
                <w:kern w:val="0"/>
                <w:sz w:val="21"/>
                <w:szCs w:val="21"/>
                <w:u w:val="single"/>
                <w:lang w:val="en-US" w:eastAsia="zh-CN" w:bidi="ar"/>
              </w:rPr>
              <w:t xml:space="preserve">    </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年</w:t>
            </w:r>
          </w:p>
          <w:p>
            <w:pPr>
              <w:keepNext w:val="0"/>
              <w:keepLines w:val="0"/>
              <w:widowControl/>
              <w:suppressLineNumbers w:val="0"/>
              <w:jc w:val="both"/>
              <w:textAlignment w:val="center"/>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p>
          <w:p>
            <w:pPr>
              <w:keepNext w:val="0"/>
              <w:keepLines w:val="0"/>
              <w:widowControl/>
              <w:suppressLineNumbers w:val="0"/>
              <w:ind w:firstLine="461"/>
              <w:jc w:val="center"/>
              <w:textAlignment w:val="center"/>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起止</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日期</w:t>
            </w:r>
          </w:p>
        </w:tc>
        <w:tc>
          <w:tcPr>
            <w:tcW w:w="50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iCs w:val="0"/>
                <w:color w:val="000000"/>
                <w:kern w:val="0"/>
                <w:sz w:val="21"/>
                <w:szCs w:val="21"/>
                <w:u w:val="single"/>
                <w:lang w:val="en-US" w:eastAsia="zh-CN" w:bidi="ar"/>
              </w:rPr>
            </w:pPr>
          </w:p>
          <w:p>
            <w:pPr>
              <w:keepNext w:val="0"/>
              <w:keepLines w:val="0"/>
              <w:widowControl/>
              <w:suppressLineNumbers w:val="0"/>
              <w:jc w:val="both"/>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singl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66675</wp:posOffset>
                  </wp:positionH>
                  <wp:positionV relativeFrom="paragraph">
                    <wp:posOffset>777875</wp:posOffset>
                  </wp:positionV>
                  <wp:extent cx="1047750" cy="0"/>
                  <wp:effectExtent l="0" t="0" r="0" b="0"/>
                  <wp:wrapNone/>
                  <wp:docPr id="5" name="直接连接符_27"/>
                  <wp:cNvGraphicFramePr/>
                  <a:graphic xmlns:a="http://schemas.openxmlformats.org/drawingml/2006/main">
                    <a:graphicData uri="http://schemas.openxmlformats.org/drawingml/2006/picture">
                      <pic:pic xmlns:pic="http://schemas.openxmlformats.org/drawingml/2006/picture">
                        <pic:nvPicPr>
                          <pic:cNvPr id="5" name="直接连接符_27"/>
                          <pic:cNvPicPr/>
                        </pic:nvPicPr>
                        <pic:blipFill>
                          <a:blip r:embed="rId8"/>
                          <a:stretch>
                            <a:fillRect/>
                          </a:stretch>
                        </pic:blipFill>
                        <pic:spPr>
                          <a:xfrm>
                            <a:off x="0" y="0"/>
                            <a:ext cx="1047750" cy="0"/>
                          </a:xfrm>
                          <a:prstGeom prst="rect">
                            <a:avLst/>
                          </a:prstGeom>
                          <a:noFill/>
                          <a:ln>
                            <a:noFill/>
                          </a:ln>
                        </pic:spPr>
                      </pic:pic>
                    </a:graphicData>
                  </a:graphic>
                </wp:anchor>
              </w:drawing>
            </w:r>
            <w:r>
              <w:rPr>
                <w:rFonts w:hint="eastAsia" w:asciiTheme="minorEastAsia" w:hAnsiTheme="minorEastAsia" w:eastAsiaTheme="minorEastAsia" w:cstheme="minorEastAsia"/>
                <w:b w:val="0"/>
                <w:bCs w:val="0"/>
                <w:i w:val="0"/>
                <w:iCs w:val="0"/>
                <w:color w:val="000000"/>
                <w:kern w:val="0"/>
                <w:sz w:val="21"/>
                <w:szCs w:val="21"/>
                <w:u w:val="singl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104775</wp:posOffset>
                  </wp:positionH>
                  <wp:positionV relativeFrom="paragraph">
                    <wp:posOffset>457200</wp:posOffset>
                  </wp:positionV>
                  <wp:extent cx="895350" cy="0"/>
                  <wp:effectExtent l="0" t="0" r="0" b="0"/>
                  <wp:wrapNone/>
                  <wp:docPr id="12" name="直接连接符_25"/>
                  <wp:cNvGraphicFramePr/>
                  <a:graphic xmlns:a="http://schemas.openxmlformats.org/drawingml/2006/main">
                    <a:graphicData uri="http://schemas.openxmlformats.org/drawingml/2006/picture">
                      <pic:pic xmlns:pic="http://schemas.openxmlformats.org/drawingml/2006/picture">
                        <pic:nvPicPr>
                          <pic:cNvPr id="12" name="直接连接符_25"/>
                          <pic:cNvPicPr/>
                        </pic:nvPicPr>
                        <pic:blipFill>
                          <a:blip r:embed="rId9"/>
                          <a:stretch>
                            <a:fillRect/>
                          </a:stretch>
                        </pic:blipFill>
                        <pic:spPr>
                          <a:xfrm>
                            <a:off x="0" y="0"/>
                            <a:ext cx="895350" cy="0"/>
                          </a:xfrm>
                          <a:prstGeom prst="rect">
                            <a:avLst/>
                          </a:prstGeom>
                          <a:noFill/>
                          <a:ln>
                            <a:noFill/>
                          </a:ln>
                        </pic:spPr>
                      </pic:pic>
                    </a:graphicData>
                  </a:graphic>
                </wp:anchor>
              </w:drawing>
            </w:r>
            <w:r>
              <w:rPr>
                <w:rFonts w:hint="eastAsia" w:asciiTheme="minorEastAsia" w:hAnsiTheme="minorEastAsia" w:eastAsiaTheme="minorEastAsia" w:cstheme="minorEastAsia"/>
                <w:b w:val="0"/>
                <w:bCs w:val="0"/>
                <w:i w:val="0"/>
                <w:iCs w:val="0"/>
                <w:color w:val="000000"/>
                <w:kern w:val="0"/>
                <w:sz w:val="21"/>
                <w:szCs w:val="21"/>
                <w:u w:val="singl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1422400</wp:posOffset>
                  </wp:positionH>
                  <wp:positionV relativeFrom="paragraph">
                    <wp:posOffset>441325</wp:posOffset>
                  </wp:positionV>
                  <wp:extent cx="371475" cy="0"/>
                  <wp:effectExtent l="0" t="0" r="0" b="0"/>
                  <wp:wrapNone/>
                  <wp:docPr id="9" name="直接连接符_29"/>
                  <wp:cNvGraphicFramePr/>
                  <a:graphic xmlns:a="http://schemas.openxmlformats.org/drawingml/2006/main">
                    <a:graphicData uri="http://schemas.openxmlformats.org/drawingml/2006/picture">
                      <pic:pic xmlns:pic="http://schemas.openxmlformats.org/drawingml/2006/picture">
                        <pic:nvPicPr>
                          <pic:cNvPr id="9" name="直接连接符_29"/>
                          <pic:cNvPicPr/>
                        </pic:nvPicPr>
                        <pic:blipFill>
                          <a:blip r:embed="rId7"/>
                          <a:stretch>
                            <a:fillRect/>
                          </a:stretch>
                        </pic:blipFill>
                        <pic:spPr>
                          <a:xfrm>
                            <a:off x="0" y="0"/>
                            <a:ext cx="371475" cy="0"/>
                          </a:xfrm>
                          <a:prstGeom prst="rect">
                            <a:avLst/>
                          </a:prstGeom>
                          <a:noFill/>
                          <a:ln>
                            <a:noFill/>
                          </a:ln>
                        </pic:spPr>
                      </pic:pic>
                    </a:graphicData>
                  </a:graphic>
                </wp:anchor>
              </w:drawing>
            </w:r>
            <w:r>
              <w:rPr>
                <w:rFonts w:hint="eastAsia" w:asciiTheme="minorEastAsia" w:hAnsiTheme="minorEastAsia" w:eastAsiaTheme="minorEastAsia" w:cstheme="minorEastAsia"/>
                <w:b w:val="0"/>
                <w:bCs w:val="0"/>
                <w:i w:val="0"/>
                <w:iCs w:val="0"/>
                <w:color w:val="000000"/>
                <w:kern w:val="0"/>
                <w:sz w:val="21"/>
                <w:szCs w:val="21"/>
                <w:u w:val="singl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1438275</wp:posOffset>
                  </wp:positionH>
                  <wp:positionV relativeFrom="paragraph">
                    <wp:posOffset>796925</wp:posOffset>
                  </wp:positionV>
                  <wp:extent cx="371475" cy="0"/>
                  <wp:effectExtent l="0" t="0" r="0" b="0"/>
                  <wp:wrapNone/>
                  <wp:docPr id="10" name="直接连接符_28"/>
                  <wp:cNvGraphicFramePr/>
                  <a:graphic xmlns:a="http://schemas.openxmlformats.org/drawingml/2006/main">
                    <a:graphicData uri="http://schemas.openxmlformats.org/drawingml/2006/picture">
                      <pic:pic xmlns:pic="http://schemas.openxmlformats.org/drawingml/2006/picture">
                        <pic:nvPicPr>
                          <pic:cNvPr id="10" name="直接连接符_28"/>
                          <pic:cNvPicPr/>
                        </pic:nvPicPr>
                        <pic:blipFill>
                          <a:blip r:embed="rId7"/>
                          <a:stretch>
                            <a:fillRect/>
                          </a:stretch>
                        </pic:blipFill>
                        <pic:spPr>
                          <a:xfrm>
                            <a:off x="0" y="0"/>
                            <a:ext cx="371475" cy="0"/>
                          </a:xfrm>
                          <a:prstGeom prst="rect">
                            <a:avLst/>
                          </a:prstGeom>
                          <a:noFill/>
                          <a:ln>
                            <a:noFill/>
                          </a:ln>
                        </pic:spPr>
                      </pic:pic>
                    </a:graphicData>
                  </a:graphic>
                </wp:anchor>
              </w:drawing>
            </w:r>
            <w:r>
              <w:rPr>
                <w:rFonts w:hint="eastAsia" w:asciiTheme="minorEastAsia" w:hAnsiTheme="minorEastAsia" w:eastAsiaTheme="minorEastAsia" w:cstheme="minorEastAsia"/>
                <w:b w:val="0"/>
                <w:bCs w:val="0"/>
                <w:i w:val="0"/>
                <w:iCs w:val="0"/>
                <w:color w:val="000000"/>
                <w:kern w:val="0"/>
                <w:sz w:val="21"/>
                <w:szCs w:val="21"/>
                <w:u w:val="singl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425450</wp:posOffset>
                  </wp:positionV>
                  <wp:extent cx="371475" cy="0"/>
                  <wp:effectExtent l="0" t="0" r="0" b="0"/>
                  <wp:wrapNone/>
                  <wp:docPr id="14" name="直接连接符_30"/>
                  <wp:cNvGraphicFramePr/>
                  <a:graphic xmlns:a="http://schemas.openxmlformats.org/drawingml/2006/main">
                    <a:graphicData uri="http://schemas.openxmlformats.org/drawingml/2006/picture">
                      <pic:pic xmlns:pic="http://schemas.openxmlformats.org/drawingml/2006/picture">
                        <pic:nvPicPr>
                          <pic:cNvPr id="14" name="直接连接符_30"/>
                          <pic:cNvPicPr/>
                        </pic:nvPicPr>
                        <pic:blipFill>
                          <a:blip r:embed="rId7"/>
                          <a:stretch>
                            <a:fillRect/>
                          </a:stretch>
                        </pic:blipFill>
                        <pic:spPr>
                          <a:xfrm>
                            <a:off x="0" y="0"/>
                            <a:ext cx="371475" cy="0"/>
                          </a:xfrm>
                          <a:prstGeom prst="rect">
                            <a:avLst/>
                          </a:prstGeom>
                          <a:noFill/>
                          <a:ln>
                            <a:noFill/>
                          </a:ln>
                        </pic:spPr>
                      </pic:pic>
                    </a:graphicData>
                  </a:graphic>
                </wp:anchor>
              </w:drawing>
            </w:r>
            <w:r>
              <w:rPr>
                <w:rFonts w:hint="eastAsia" w:asciiTheme="minorEastAsia" w:hAnsiTheme="minorEastAsia" w:eastAsiaTheme="minorEastAsia" w:cstheme="minorEastAsia"/>
                <w:b w:val="0"/>
                <w:bCs w:val="0"/>
                <w:i w:val="0"/>
                <w:iCs w:val="0"/>
                <w:color w:val="000000"/>
                <w:kern w:val="0"/>
                <w:sz w:val="21"/>
                <w:szCs w:val="21"/>
                <w:u w:val="singl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1955800</wp:posOffset>
                  </wp:positionH>
                  <wp:positionV relativeFrom="paragraph">
                    <wp:posOffset>793750</wp:posOffset>
                  </wp:positionV>
                  <wp:extent cx="371475" cy="0"/>
                  <wp:effectExtent l="0" t="0" r="0" b="0"/>
                  <wp:wrapNone/>
                  <wp:docPr id="11" name="直接连接符_31"/>
                  <wp:cNvGraphicFramePr/>
                  <a:graphic xmlns:a="http://schemas.openxmlformats.org/drawingml/2006/main">
                    <a:graphicData uri="http://schemas.openxmlformats.org/drawingml/2006/picture">
                      <pic:pic xmlns:pic="http://schemas.openxmlformats.org/drawingml/2006/picture">
                        <pic:nvPicPr>
                          <pic:cNvPr id="11" name="直接连接符_31"/>
                          <pic:cNvPicPr/>
                        </pic:nvPicPr>
                        <pic:blipFill>
                          <a:blip r:embed="rId7"/>
                          <a:stretch>
                            <a:fillRect/>
                          </a:stretch>
                        </pic:blipFill>
                        <pic:spPr>
                          <a:xfrm>
                            <a:off x="0" y="0"/>
                            <a:ext cx="371475" cy="0"/>
                          </a:xfrm>
                          <a:prstGeom prst="rect">
                            <a:avLst/>
                          </a:prstGeom>
                          <a:noFill/>
                          <a:ln>
                            <a:noFill/>
                          </a:ln>
                        </pic:spPr>
                      </pic:pic>
                    </a:graphicData>
                  </a:graphic>
                </wp:anchor>
              </w:drawing>
            </w:r>
            <w:r>
              <w:rPr>
                <w:rFonts w:hint="eastAsia" w:asciiTheme="minorEastAsia" w:hAnsiTheme="minorEastAsia" w:eastAsiaTheme="minorEastAsia" w:cstheme="minorEastAsia"/>
                <w:b w:val="0"/>
                <w:bCs w:val="0"/>
                <w:i w:val="0"/>
                <w:iCs w:val="0"/>
                <w:color w:val="000000"/>
                <w:kern w:val="0"/>
                <w:sz w:val="21"/>
                <w:szCs w:val="21"/>
                <w:u w:val="single"/>
                <w:lang w:val="en-US" w:eastAsia="zh-CN" w:bidi="ar"/>
              </w:rPr>
              <w:t xml:space="preserve">       </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年</w:t>
            </w:r>
            <w:r>
              <w:rPr>
                <w:rFonts w:hint="eastAsia" w:asciiTheme="minorEastAsia" w:hAnsiTheme="minorEastAsia" w:eastAsiaTheme="minorEastAsia" w:cstheme="minorEastAsia"/>
                <w:b w:val="0"/>
                <w:bCs w:val="0"/>
                <w:i w:val="0"/>
                <w:iCs w:val="0"/>
                <w:color w:val="000000"/>
                <w:kern w:val="0"/>
                <w:sz w:val="21"/>
                <w:szCs w:val="21"/>
                <w:u w:val="single"/>
                <w:lang w:val="en-US" w:eastAsia="zh-CN" w:bidi="ar"/>
              </w:rPr>
              <w:t xml:space="preserve">    </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月</w:t>
            </w:r>
            <w:r>
              <w:rPr>
                <w:rFonts w:hint="eastAsia" w:asciiTheme="minorEastAsia" w:hAnsiTheme="minorEastAsia" w:eastAsiaTheme="minorEastAsia" w:cstheme="minorEastAsia"/>
                <w:b w:val="0"/>
                <w:bCs w:val="0"/>
                <w:i w:val="0"/>
                <w:iCs w:val="0"/>
                <w:color w:val="000000"/>
                <w:kern w:val="0"/>
                <w:sz w:val="21"/>
                <w:szCs w:val="21"/>
                <w:u w:val="single"/>
                <w:lang w:val="en-US" w:eastAsia="zh-CN" w:bidi="ar"/>
              </w:rPr>
              <w:t xml:space="preserve">    </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日（起）</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single"/>
                <w:lang w:val="en-US" w:eastAsia="zh-CN" w:bidi="ar"/>
              </w:rPr>
              <w:t xml:space="preserve">       </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年</w:t>
            </w:r>
            <w:r>
              <w:rPr>
                <w:rFonts w:hint="eastAsia" w:asciiTheme="minorEastAsia" w:hAnsiTheme="minorEastAsia" w:eastAsiaTheme="minorEastAsia" w:cstheme="minorEastAsia"/>
                <w:b w:val="0"/>
                <w:bCs w:val="0"/>
                <w:i w:val="0"/>
                <w:iCs w:val="0"/>
                <w:color w:val="000000"/>
                <w:kern w:val="0"/>
                <w:sz w:val="21"/>
                <w:szCs w:val="21"/>
                <w:u w:val="single"/>
                <w:lang w:val="en-US" w:eastAsia="zh-CN" w:bidi="ar"/>
              </w:rPr>
              <w:t xml:space="preserve">    </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月</w:t>
            </w:r>
            <w:r>
              <w:rPr>
                <w:rFonts w:hint="eastAsia" w:asciiTheme="minorEastAsia" w:hAnsiTheme="minorEastAsia" w:eastAsiaTheme="minorEastAsia" w:cstheme="minorEastAsia"/>
                <w:b w:val="0"/>
                <w:bCs w:val="0"/>
                <w:i w:val="0"/>
                <w:iCs w:val="0"/>
                <w:color w:val="000000"/>
                <w:kern w:val="0"/>
                <w:sz w:val="21"/>
                <w:szCs w:val="21"/>
                <w:u w:val="single"/>
                <w:lang w:val="en-US" w:eastAsia="zh-CN" w:bidi="ar"/>
              </w:rPr>
              <w:t xml:space="preserve">    </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5"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边界相邻人意见</w:t>
            </w:r>
          </w:p>
        </w:tc>
        <w:tc>
          <w:tcPr>
            <w:tcW w:w="83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所在组意见</w:t>
            </w:r>
          </w:p>
        </w:tc>
        <w:tc>
          <w:tcPr>
            <w:tcW w:w="83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所在村委会意见</w:t>
            </w:r>
          </w:p>
        </w:tc>
        <w:tc>
          <w:tcPr>
            <w:tcW w:w="83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0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所在镇（乡）意见</w:t>
            </w:r>
          </w:p>
        </w:tc>
        <w:tc>
          <w:tcPr>
            <w:tcW w:w="83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85"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县级林业主管部门意见</w:t>
            </w:r>
          </w:p>
        </w:tc>
        <w:tc>
          <w:tcPr>
            <w:tcW w:w="83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br w:type="textWrapping"/>
            </w:r>
          </w:p>
        </w:tc>
      </w:tr>
    </w:tbl>
    <w:p>
      <w:pPr>
        <w:rPr>
          <w:rFonts w:hint="default"/>
          <w:lang w:val="en-US" w:eastAsia="zh-CN"/>
        </w:rPr>
      </w:pPr>
    </w:p>
    <w:p/>
    <w:sectPr>
      <w:pgSz w:w="11906" w:h="16838"/>
      <w:pgMar w:top="2154" w:right="1474" w:bottom="147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138"/>
      <w:rPr>
        <w:rFonts w:ascii="Tahoma" w:hAnsi="Tahoma" w:eastAsia="Tahoma" w:cs="Tahoma"/>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依然">
    <w15:presenceInfo w15:providerId="WPS Office" w15:userId="1016063478"/>
  </w15:person>
  <w15:person w15:author="THT">
    <w15:presenceInfo w15:providerId="None" w15:userId="T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MDQ1YTYyYTQyZmM4NjBkOWVjMWY4OWQyODNjMzMifQ=="/>
  </w:docVars>
  <w:rsids>
    <w:rsidRoot w:val="31970B12"/>
    <w:rsid w:val="069F3FEC"/>
    <w:rsid w:val="0A1C277D"/>
    <w:rsid w:val="0A977A12"/>
    <w:rsid w:val="0CA17BC7"/>
    <w:rsid w:val="0DD347CE"/>
    <w:rsid w:val="0E5C6869"/>
    <w:rsid w:val="0F0071CD"/>
    <w:rsid w:val="12046FD4"/>
    <w:rsid w:val="1476514E"/>
    <w:rsid w:val="159957AE"/>
    <w:rsid w:val="174740D4"/>
    <w:rsid w:val="18383533"/>
    <w:rsid w:val="1A58610F"/>
    <w:rsid w:val="1C694603"/>
    <w:rsid w:val="2143474C"/>
    <w:rsid w:val="22C97BAA"/>
    <w:rsid w:val="292A77E9"/>
    <w:rsid w:val="29300F85"/>
    <w:rsid w:val="2E5C248A"/>
    <w:rsid w:val="2F454A5C"/>
    <w:rsid w:val="30877364"/>
    <w:rsid w:val="31970B12"/>
    <w:rsid w:val="32C12298"/>
    <w:rsid w:val="36E032BC"/>
    <w:rsid w:val="36EB1726"/>
    <w:rsid w:val="37DB688A"/>
    <w:rsid w:val="3B842468"/>
    <w:rsid w:val="3B922326"/>
    <w:rsid w:val="3C61334E"/>
    <w:rsid w:val="3CC86CCC"/>
    <w:rsid w:val="3DF902CA"/>
    <w:rsid w:val="3F307E23"/>
    <w:rsid w:val="407A5998"/>
    <w:rsid w:val="478C7274"/>
    <w:rsid w:val="4A3D2AA8"/>
    <w:rsid w:val="4B0B1A2D"/>
    <w:rsid w:val="4B26197F"/>
    <w:rsid w:val="518F6416"/>
    <w:rsid w:val="53B8749A"/>
    <w:rsid w:val="53F058C2"/>
    <w:rsid w:val="56F269C8"/>
    <w:rsid w:val="5955323E"/>
    <w:rsid w:val="5CFB5EAA"/>
    <w:rsid w:val="60216B70"/>
    <w:rsid w:val="66D8599D"/>
    <w:rsid w:val="68E11026"/>
    <w:rsid w:val="6B050BC7"/>
    <w:rsid w:val="6BD72179"/>
    <w:rsid w:val="6E7306AA"/>
    <w:rsid w:val="6FE70C3C"/>
    <w:rsid w:val="6FFD41A8"/>
    <w:rsid w:val="70072A90"/>
    <w:rsid w:val="726E11A1"/>
    <w:rsid w:val="78713799"/>
    <w:rsid w:val="7B4729C1"/>
    <w:rsid w:val="7E77135B"/>
    <w:rsid w:val="7EB51F05"/>
    <w:rsid w:val="7F89761A"/>
    <w:rsid w:val="DACF1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unhideWhenUsed/>
    <w:qFormat/>
    <w:uiPriority w:val="99"/>
    <w:pPr>
      <w:ind w:firstLine="420"/>
    </w:pPr>
  </w:style>
  <w:style w:type="table" w:customStyle="1" w:styleId="8">
    <w:name w:val="Table Normal"/>
    <w:semiHidden/>
    <w:unhideWhenUsed/>
    <w:qFormat/>
    <w:uiPriority w:val="0"/>
    <w:tblPr>
      <w:tblLayout w:type="fixed"/>
      <w:tblCellMar>
        <w:top w:w="0" w:type="dxa"/>
        <w:left w:w="0" w:type="dxa"/>
        <w:bottom w:w="0" w:type="dxa"/>
        <w:right w:w="0" w:type="dxa"/>
      </w:tblCellMar>
    </w:tblPr>
  </w:style>
  <w:style w:type="paragraph" w:customStyle="1" w:styleId="9">
    <w:name w:val="Table Text"/>
    <w:basedOn w:val="1"/>
    <w:semiHidden/>
    <w:qFormat/>
    <w:uiPriority w:val="0"/>
    <w:rPr>
      <w:rFonts w:ascii="Arial" w:hAnsi="Arial" w:eastAsia="Arial" w:cs="Arial"/>
      <w:sz w:val="21"/>
      <w:szCs w:val="21"/>
      <w:lang w:val="en-US" w:eastAsia="en-US" w:bidi="ar-SA"/>
    </w:rPr>
  </w:style>
  <w:style w:type="paragraph" w:customStyle="1" w:styleId="10">
    <w:name w:val="页脚1"/>
    <w:basedOn w:val="1"/>
    <w:qFormat/>
    <w:uiPriority w:val="0"/>
    <w:pPr>
      <w:tabs>
        <w:tab w:val="center" w:pos="4153"/>
        <w:tab w:val="right" w:pos="8306"/>
      </w:tabs>
      <w:snapToGrid w:val="0"/>
      <w:jc w:val="left"/>
    </w:pPr>
    <w:rPr>
      <w:sz w:val="18"/>
      <w:szCs w:val="18"/>
    </w:rPr>
  </w:style>
  <w:style w:type="character" w:customStyle="1" w:styleId="11">
    <w:name w:val="页码1"/>
    <w:basedOn w:val="12"/>
    <w:link w:val="1"/>
    <w:qFormat/>
    <w:uiPriority w:val="0"/>
    <w:rPr>
      <w:rFonts w:ascii="Arial" w:hAnsi="Arial" w:eastAsia="Arial" w:cs="Arial"/>
      <w:snapToGrid w:val="0"/>
      <w:color w:val="000000"/>
      <w:kern w:val="0"/>
      <w:sz w:val="21"/>
      <w:szCs w:val="21"/>
    </w:rPr>
  </w:style>
  <w:style w:type="character" w:customStyle="1" w:styleId="12">
    <w:name w:val="默认段落字体1"/>
    <w:link w:val="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2024-02-27T11:17:00Z</dcterms:created>
  <dc:creator>依然</dc:creator>
  <cp:lastModifiedBy>Administrator</cp:lastModifiedBy>
  <dcterms:modified xsi:type="dcterms:W3CDTF">2024-03-05T08:41:19Z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7B05730C284E4571BDE167470F68F75F_13</vt:lpwstr>
  </property>
</Properties>
</file>