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南江县水利局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2023年政府信息公开工作年度报告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本报告根据《中华人民共和国政府信息公开条例》和省、市相关规定编制。本文中所列数据的统计期限从2023年1月1日起到2023年12月31日止。本年报电子版通过南江县人民政府门户网站（http://www.scnj.gov.cn/）全文公开。如对本报告有任何疑问，请与南江县水利局联系（地址：南江县住建大楼12-10室，联系电话：0827-8222437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2023年，在县政府信息管理办公室的关心指导下，我局始终坚持以习近平新时代中国特色社会主义思想为指导，认真落实党中央、国务院和省、市、县关于政府信息公开工作的决策部署，严格按照《中华人民共和国政府信息公开条例》要求，紧紧围绕县委、县政府重大决策安排和人民群众关注关切，健全机制，规范程序，创新思路，强化服务，坚持做到“公开为常态、不公开为例外”，积极回应关切，政府信息公开工作质量和实效不断提升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（一）主动公开方面。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2023年，我局主要通过南江县水利局门户网站，按规定主动公开信息63条，其中：政策：3条，机关简介2条，规划计划4条，财政预算决算7条，重大项目2条，重大民生信息3条，其他法定信息42条，全面客观反映了我局2023年的政务信息公开相关工作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（二）依申请公开方面。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畅通网络、信函、当面申请等申请渠道，做好政府信息公开申请的接收、登记、办理、调查、答复等各个环节工作，依法保障公众合理信息需求。2023年全年未收到政府信息公开申请。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（三）政府信息管理方面。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进一步健全信息发布机制、公开审查机制和动态调整机制，严把政治关、法律关、保密关、程序关、时效关，确保发布的政府信息合法、真实、准确、及时。结合水利行业工作重点，不断完善政府信息主动公开目录，并根据职责变化及时进行动态更新调整。优化门户网站信息检索功能，提高信息检索的便捷性和精确度，更加方便群众查阅相关信息。本年未制定行政规范性文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（四）平台建设方面。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进一步规范网站政府信息公开栏目，积极配合推进门户网站改版升级工作，完善了门户网站信息发布功能，重点提升解读回应、办事服务、互动交流水平。今年及时修订更新政府信息公开指南，加强政府信息公开专栏、建设维护，实现数据同源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（五）监督保障方面。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建立起自上而下的政务公开工作组织体系和监督体系，实行月度任务完成通报制度，全面加强对政务公开工作情况的督促检查。一方面加强党内监督，促使我单位政务公开工作逐步走上科学化、制度化的轨道，从而更好地服务于大局。另一方面持续强化政务公开工作群众监督职能，发挥各种信息交流平台作用，强化舆论监督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5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90"/>
        <w:gridCol w:w="1968"/>
        <w:gridCol w:w="1608"/>
        <w:gridCol w:w="20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893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第二十条第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19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本年制发件数</w:t>
            </w:r>
          </w:p>
        </w:tc>
        <w:tc>
          <w:tcPr>
            <w:tcW w:w="16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本年废止件数</w:t>
            </w:r>
          </w:p>
        </w:tc>
        <w:tc>
          <w:tcPr>
            <w:tcW w:w="2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419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规章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行政规范性文件</w:t>
            </w:r>
          </w:p>
        </w:tc>
        <w:tc>
          <w:tcPr>
            <w:tcW w:w="19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93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第二十条第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五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80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56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行政许可</w:t>
            </w:r>
          </w:p>
        </w:tc>
        <w:tc>
          <w:tcPr>
            <w:tcW w:w="56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149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893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第二十条第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323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56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行政处罚</w:t>
            </w:r>
          </w:p>
        </w:tc>
        <w:tc>
          <w:tcPr>
            <w:tcW w:w="56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行政强制</w:t>
            </w:r>
          </w:p>
        </w:tc>
        <w:tc>
          <w:tcPr>
            <w:tcW w:w="56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8931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第二十条第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八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信息内容</w:t>
            </w:r>
          </w:p>
        </w:tc>
        <w:tc>
          <w:tcPr>
            <w:tcW w:w="56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本年收费金额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单位：万元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29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行政事业性收费</w:t>
            </w:r>
          </w:p>
        </w:tc>
        <w:tc>
          <w:tcPr>
            <w:tcW w:w="564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256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1150"/>
        <w:gridCol w:w="1817"/>
        <w:gridCol w:w="610"/>
        <w:gridCol w:w="695"/>
        <w:gridCol w:w="737"/>
        <w:gridCol w:w="941"/>
        <w:gridCol w:w="872"/>
        <w:gridCol w:w="669"/>
        <w:gridCol w:w="73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67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本列数据的勾稽关系为：第一项加第二项之和，等于第三项加第四项之和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</w:p>
        </w:tc>
        <w:tc>
          <w:tcPr>
            <w:tcW w:w="52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6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自然人</w:t>
            </w:r>
          </w:p>
        </w:tc>
        <w:tc>
          <w:tcPr>
            <w:tcW w:w="391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法人或其他组织</w:t>
            </w:r>
          </w:p>
        </w:tc>
        <w:tc>
          <w:tcPr>
            <w:tcW w:w="73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367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商业企业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科研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机构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社会公益组织</w:t>
            </w:r>
          </w:p>
        </w:tc>
        <w:tc>
          <w:tcPr>
            <w:tcW w:w="8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法律服务机构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73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36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36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70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三、本年度办理结果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予以公开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二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部分公开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区分处理的，只计这一情形，不计其他情形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三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不予公开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属于国家秘密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其他法律行政法规禁止公开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危及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“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三安全一稳定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”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保护第三方合法权益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5.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属于三类内部事务信息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6.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属于四类过程性信息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7.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属于行政执法案卷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8.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属于行政查询事项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无法提供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本机关不掌握相关政府信息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没有现成信息需要另行制作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补正后申请内容仍不明确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五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不予处理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信访举报投诉类申请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重复申请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要求提供公开出版物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4.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无正当理由大量反复申请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5.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其他处理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1.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申请人无正当理由逾期不补正、行政机关不再处理其政府信息公开申请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2.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申请人逾期未按收费通知要求缴纳费用、行政机关不再处理其政府信息公开申请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1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3.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70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(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七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)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/>
                <w:color w:val="auto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367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四、结转下年度继续办理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16"/>
          <w:szCs w:val="16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5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4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行政复议</w:t>
            </w:r>
          </w:p>
        </w:tc>
        <w:tc>
          <w:tcPr>
            <w:tcW w:w="589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30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未经复议直接起诉</w:t>
            </w:r>
          </w:p>
        </w:tc>
        <w:tc>
          <w:tcPr>
            <w:tcW w:w="287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结果纠正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其他结果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尚未审结</w:t>
            </w:r>
          </w:p>
        </w:tc>
        <w:tc>
          <w:tcPr>
            <w:tcW w:w="4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-17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  <w:tc>
          <w:tcPr>
            <w:tcW w:w="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auto"/>
                <w:spacing w:val="0"/>
                <w:sz w:val="21"/>
                <w:szCs w:val="21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 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</w:rPr>
        <w:t>2023年，政府信息公开工作取得一定成效，但仍存在一些不足，一是对相关政策法规的宣传、解读不够，主动公开的深度和广度有待进一步深化和拓展。二是信息公开平台整合信息资源的能力还有待进一步加强。下一步，一是强化业务培训和队伍建设，提升信息公开的能力素质和为公众服务的水平，扩宽宣传渠道，与县融媒体、巴中日报等联系，加强交流并丰富政策解读形式。二是进一步提升信息公开和信息发布的及时性，联系业务股室，挖掘信息资源，整合相关信息，落实信息发布“三审”等制度，提升信息发布质量，做好信息维护更新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水利局未收取信息处理费，无其他需要反映事项。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南江县水利局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right"/>
        <w:textAlignment w:val="auto"/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2023年1月4日</w:t>
      </w:r>
      <w:bookmarkStart w:id="0" w:name="_GoBack"/>
      <w:bookmarkEnd w:id="0"/>
    </w:p>
    <w:sectPr>
      <w:pgSz w:w="11906" w:h="16838"/>
      <w:pgMar w:top="2098" w:right="1361" w:bottom="181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BFB95"/>
    <w:rsid w:val="1BEF4333"/>
    <w:rsid w:val="1CFFC831"/>
    <w:rsid w:val="70717D93"/>
    <w:rsid w:val="7CCF0249"/>
    <w:rsid w:val="7FFDC10D"/>
    <w:rsid w:val="C6DF0D6D"/>
    <w:rsid w:val="CBEDA664"/>
    <w:rsid w:val="D47ED17D"/>
    <w:rsid w:val="DF7BE66F"/>
    <w:rsid w:val="DFFBAE79"/>
    <w:rsid w:val="EF9E9E16"/>
    <w:rsid w:val="F7DFADC4"/>
    <w:rsid w:val="FB79B8D4"/>
    <w:rsid w:val="FE8D21F5"/>
    <w:rsid w:val="FEFBFB95"/>
    <w:rsid w:val="FEFF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2024-01-17T04:26:00Z</dcterms:created>
  <dc:creator>user</dc:creator>
  <cp:lastModifiedBy>user</cp:lastModifiedBy>
  <dcterms:modified xsi:type="dcterms:W3CDTF">2024-01-30T14:32:04Z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62ED947FABE34A716197B8652606CDFA</vt:lpwstr>
  </property>
</Properties>
</file>