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南江县2023年政府信息公开工作年度报告</w:t>
      </w:r>
      <w:bookmarkEnd w:id="0"/>
    </w:p>
    <w:p>
      <w:pPr>
        <w:pStyle w:val="2"/>
        <w:keepNext w:val="0"/>
        <w:keepLines w:val="0"/>
        <w:pageBreakBefore w:val="0"/>
        <w:widowControl/>
        <w:kinsoku/>
        <w:wordWrap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  <w:lang w:bidi="ar-SA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  <w:lang w:bidi="ar-SA"/>
        </w:rPr>
        <w:t>本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  <w:lang w:bidi="ar-SA"/>
        </w:rPr>
        <w:t>报告根据《中华人民共和国政府信息公开条例》和省、市相关规定编制。本文中所列数据的统计期限从2023年1月1日起到2023年12月31日止。本年报电子版通过南江县人民政府门户网站（http://www.scnj.gov.cn/）全文公开。如对本报告有任何疑问，请与南江县政务信息管理办公室联系（地址：南江县党政中心421室，联系电话：0827-8221339）。</w:t>
      </w:r>
    </w:p>
    <w:p>
      <w:pPr>
        <w:pStyle w:val="2"/>
        <w:keepNext w:val="0"/>
        <w:keepLines w:val="0"/>
        <w:pageBreakBefore w:val="0"/>
        <w:widowControl/>
        <w:kinsoku/>
        <w:wordWrap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方正黑体_GBK" w:cs="Times New Roman"/>
          <w:kern w:val="2"/>
          <w:sz w:val="32"/>
          <w:szCs w:val="32"/>
          <w:lang w:bidi="ar-SA"/>
        </w:rPr>
      </w:pPr>
      <w:r>
        <w:rPr>
          <w:rFonts w:hint="eastAsia" w:ascii="Times New Roman" w:hAnsi="Times New Roman" w:eastAsia="方正黑体_GBK" w:cs="Times New Roman"/>
          <w:kern w:val="2"/>
          <w:sz w:val="32"/>
          <w:szCs w:val="32"/>
          <w:lang w:bidi="ar-SA"/>
        </w:rPr>
        <w:t>一、总体情况</w:t>
      </w:r>
    </w:p>
    <w:p>
      <w:pPr>
        <w:pStyle w:val="2"/>
        <w:keepNext w:val="0"/>
        <w:keepLines w:val="0"/>
        <w:pageBreakBefore w:val="0"/>
        <w:widowControl/>
        <w:kinsoku/>
        <w:wordWrap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  <w:lang w:bidi="ar-SA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  <w:lang w:bidi="ar-SA"/>
        </w:rPr>
        <w:t>2023年，南江县全面贯彻落实国、省、市关于全面推进政务公开工作的各项决策部署，认真落实政务公开工作要点和工作安排，持续加强主动公开，深化基层政务公开，依法依规办理政府信息公开申请，加强政府信息公开平台建设，强化政务新媒体“指尖上的政府”的作用，不断夯实公开基础，助力法治政府建设。</w:t>
      </w:r>
    </w:p>
    <w:p>
      <w:pPr>
        <w:pStyle w:val="2"/>
        <w:keepNext w:val="0"/>
        <w:keepLines w:val="0"/>
        <w:pageBreakBefore w:val="0"/>
        <w:widowControl/>
        <w:kinsoku/>
        <w:wordWrap/>
        <w:bidi w:val="0"/>
        <w:adjustRightInd/>
        <w:snapToGrid/>
        <w:spacing w:before="0" w:beforeAutospacing="0" w:after="0" w:afterAutospacing="0" w:line="560" w:lineRule="exact"/>
        <w:ind w:left="0" w:right="0" w:firstLine="642" w:firstLineChars="200"/>
        <w:jc w:val="both"/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  <w:lang w:bidi="ar-SA"/>
        </w:rPr>
      </w:pPr>
      <w:r>
        <w:rPr>
          <w:rFonts w:hint="eastAsia" w:ascii="Times New Roman" w:hAnsi="Times New Roman" w:eastAsia="楷体_GB2312" w:cs="Times New Roman"/>
          <w:b/>
          <w:kern w:val="2"/>
          <w:sz w:val="32"/>
          <w:szCs w:val="32"/>
          <w:lang w:bidi="ar-SA"/>
        </w:rPr>
        <w:t>（一）主动公开方面。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  <w:lang w:bidi="ar-SA"/>
        </w:rPr>
        <w:t>依托南江县政府门户网站，完善30个领域基层政务公开标准目录编制，明确公开内容和责任单位，深入推进助企纾困、食品药品监管、公共文化服务、减税降费以及教育、养老、医疗、就业等19个重点领域政府信息公开，并新建“基层政务公开”专栏，通过县政府网站主动公开各类信息9413条。开展网络征集调查13次；收到书记信箱、县长信箱网民留言105次，办结105次；以文字、图片、音频等方式发布重要政策解读13期；主动公开县人大代表建议和政协提案办理复文57件。</w:t>
      </w:r>
    </w:p>
    <w:p>
      <w:pPr>
        <w:pStyle w:val="2"/>
        <w:keepNext w:val="0"/>
        <w:keepLines w:val="0"/>
        <w:pageBreakBefore w:val="0"/>
        <w:widowControl/>
        <w:kinsoku/>
        <w:wordWrap/>
        <w:bidi w:val="0"/>
        <w:adjustRightInd/>
        <w:snapToGrid/>
        <w:spacing w:before="0" w:beforeAutospacing="0" w:after="0" w:afterAutospacing="0" w:line="560" w:lineRule="exact"/>
        <w:ind w:left="0" w:right="0" w:firstLine="642" w:firstLineChars="200"/>
        <w:jc w:val="both"/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  <w:lang w:bidi="ar-SA"/>
        </w:rPr>
      </w:pPr>
      <w:r>
        <w:rPr>
          <w:rFonts w:hint="eastAsia" w:ascii="Times New Roman" w:hAnsi="Times New Roman" w:eastAsia="楷体_GB2312" w:cs="Times New Roman"/>
          <w:b/>
          <w:kern w:val="2"/>
          <w:sz w:val="32"/>
          <w:szCs w:val="32"/>
          <w:lang w:bidi="ar-SA"/>
        </w:rPr>
        <w:t>（二）依申请公开方面。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  <w:lang w:bidi="ar-SA"/>
        </w:rPr>
        <w:t>2023年，南江县进一步规范政府信息依申请公开办理流程，严格执行接收、审核、办理、答复、送达、归档程序，优化完善政府信息公开申请表格等，严格把握时间节点、联席会审、法律审查等关键环节，依规妥善处理政府信息公开申请，有效提升答复质量。全年共收到政府信息公开申请22件，均为自然人申请；予以公开5件，不予公开4件，无法提供12件，转下年继续办理1件。</w:t>
      </w:r>
    </w:p>
    <w:p>
      <w:pPr>
        <w:pStyle w:val="2"/>
        <w:keepNext w:val="0"/>
        <w:keepLines w:val="0"/>
        <w:pageBreakBefore w:val="0"/>
        <w:widowControl/>
        <w:kinsoku/>
        <w:wordWrap/>
        <w:bidi w:val="0"/>
        <w:adjustRightInd/>
        <w:snapToGrid/>
        <w:spacing w:before="0" w:beforeAutospacing="0" w:after="0" w:afterAutospacing="0" w:line="560" w:lineRule="exact"/>
        <w:ind w:left="0" w:right="0" w:firstLine="642" w:firstLineChars="200"/>
        <w:jc w:val="both"/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  <w:lang w:bidi="ar-SA"/>
        </w:rPr>
      </w:pPr>
      <w:r>
        <w:rPr>
          <w:rFonts w:hint="eastAsia" w:ascii="Times New Roman" w:hAnsi="Times New Roman" w:eastAsia="楷体_GB2312" w:cs="Times New Roman"/>
          <w:b/>
          <w:kern w:val="2"/>
          <w:sz w:val="32"/>
          <w:szCs w:val="32"/>
          <w:lang w:bidi="ar-SA"/>
        </w:rPr>
        <w:t>（三）政府信息管理方面。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  <w:lang w:bidi="ar-SA"/>
        </w:rPr>
        <w:t>2023年，新建政策栏目，集中规范公开行政规范性文件和政府相关文件。强化信息发布监管，严格落实信息发布“三审三校”制度，综合采用人工检查和第三方监测机构技术监测的方式，确保发布的信息准确、规范、及时。本年制发行政规范性文件2件，现行有效行政规范性文件16件。</w:t>
      </w:r>
    </w:p>
    <w:p>
      <w:pPr>
        <w:pStyle w:val="2"/>
        <w:keepNext w:val="0"/>
        <w:keepLines w:val="0"/>
        <w:pageBreakBefore w:val="0"/>
        <w:widowControl/>
        <w:kinsoku/>
        <w:wordWrap/>
        <w:bidi w:val="0"/>
        <w:adjustRightInd/>
        <w:snapToGrid/>
        <w:spacing w:before="0" w:beforeAutospacing="0" w:after="0" w:afterAutospacing="0" w:line="560" w:lineRule="exact"/>
        <w:ind w:left="0" w:right="0" w:firstLine="642" w:firstLineChars="200"/>
        <w:jc w:val="both"/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  <w:lang w:bidi="ar-SA"/>
        </w:rPr>
      </w:pPr>
      <w:r>
        <w:rPr>
          <w:rFonts w:hint="eastAsia" w:ascii="Times New Roman" w:hAnsi="Times New Roman" w:eastAsia="楷体_GB2312" w:cs="Times New Roman"/>
          <w:b/>
          <w:kern w:val="2"/>
          <w:sz w:val="32"/>
          <w:szCs w:val="32"/>
          <w:lang w:bidi="ar-SA"/>
        </w:rPr>
        <w:t>（四）平台建设方面。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  <w:lang w:bidi="ar-SA"/>
        </w:rPr>
        <w:t>规范设置政府信息公开专栏，运用列表、超链接等方式呈现相关内容，优化栏目检索等功能，方便群众方便、快捷地查询政府信息。根据工作实际，更新政府信息公开指南。加强政府网站与党媒之间政务数据联通，集中展示政务新媒体矩阵，完成县政府门户网站“四个一网”升级改造工作，实现数据同源。持续打造“四川政务服务网南江分站点”，整合相关资源，提供有效的办事服务。在县政务服务大厅、档案馆、图书馆和32个乡镇(街道)便民服务中心规范设置政务公开专区，提供政府信息查询、政府信息公开申请、办事咨询等服务。</w:t>
      </w:r>
    </w:p>
    <w:p>
      <w:pPr>
        <w:pStyle w:val="2"/>
        <w:keepNext w:val="0"/>
        <w:keepLines w:val="0"/>
        <w:pageBreakBefore w:val="0"/>
        <w:widowControl/>
        <w:kinsoku/>
        <w:wordWrap/>
        <w:bidi w:val="0"/>
        <w:adjustRightInd/>
        <w:snapToGrid/>
        <w:spacing w:before="0" w:beforeAutospacing="0" w:after="0" w:afterAutospacing="0" w:line="560" w:lineRule="exact"/>
        <w:ind w:left="0" w:right="0" w:firstLine="642" w:firstLineChars="200"/>
        <w:jc w:val="both"/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  <w:lang w:bidi="ar-SA"/>
        </w:rPr>
      </w:pPr>
      <w:r>
        <w:rPr>
          <w:rFonts w:hint="eastAsia" w:ascii="Times New Roman" w:hAnsi="Times New Roman" w:eastAsia="楷体_GB2312" w:cs="Times New Roman"/>
          <w:b/>
          <w:kern w:val="2"/>
          <w:sz w:val="32"/>
          <w:szCs w:val="32"/>
          <w:lang w:bidi="ar-SA"/>
        </w:rPr>
        <w:t>（五）监督保障方面。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  <w:lang w:bidi="ar-SA"/>
        </w:rPr>
        <w:t>一是成立以常务副县长为组长的政务公开、政府网站和政务新媒体建设管理领导小组；二是将政府信息公开工作纳入全县年度目标考核体系并印发《南江县2023年政务公开目标绩效考核细则》；三是组织全县32个乡镇(街道)和34个部门参加2023年度南江县政务公开、政府网站和政务新媒体管理工作专项培训。四是开展政府信息公开专栏、年度报告、政务新媒体、办事服务等专项检查，对存在突出问题的单位进行“点对点”提醒和当面约谈，强化日常检查、督促和年终目标绩效考核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2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3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90"/>
        <w:gridCol w:w="1968"/>
        <w:gridCol w:w="1608"/>
        <w:gridCol w:w="20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93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第二十条第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(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一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)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3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信息内容</w:t>
            </w:r>
          </w:p>
        </w:tc>
        <w:tc>
          <w:tcPr>
            <w:tcW w:w="19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本年制发件数</w:t>
            </w:r>
          </w:p>
        </w:tc>
        <w:tc>
          <w:tcPr>
            <w:tcW w:w="16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本年废止件数</w:t>
            </w:r>
          </w:p>
        </w:tc>
        <w:tc>
          <w:tcPr>
            <w:tcW w:w="2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现行有效件数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3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规章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3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行政规范性文件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Times New Roman" w:hAnsi="Times New Roman"/>
                <w:kern w:val="2"/>
                <w:sz w:val="21"/>
                <w:szCs w:val="21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Times New Roman" w:hAnsi="Times New Roman"/>
                <w:kern w:val="2"/>
                <w:sz w:val="21"/>
                <w:szCs w:val="21"/>
              </w:rPr>
              <w:t>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931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第二十条第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(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五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)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3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信息内容</w:t>
            </w:r>
          </w:p>
        </w:tc>
        <w:tc>
          <w:tcPr>
            <w:tcW w:w="564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本年处理决定数量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3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行政许可</w:t>
            </w:r>
          </w:p>
        </w:tc>
        <w:tc>
          <w:tcPr>
            <w:tcW w:w="56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/>
                <w:kern w:val="2"/>
                <w:sz w:val="21"/>
                <w:szCs w:val="21"/>
                <w:lang w:val="en-US"/>
              </w:rPr>
              <w:t>54847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8931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第二十条第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(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六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)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3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信息内容</w:t>
            </w:r>
          </w:p>
        </w:tc>
        <w:tc>
          <w:tcPr>
            <w:tcW w:w="564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本年处理决定数量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3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行政处罚</w:t>
            </w:r>
          </w:p>
        </w:tc>
        <w:tc>
          <w:tcPr>
            <w:tcW w:w="56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/>
                <w:kern w:val="2"/>
                <w:sz w:val="21"/>
                <w:szCs w:val="21"/>
                <w:lang w:val="en-US"/>
              </w:rPr>
              <w:t>95128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行政强制</w:t>
            </w:r>
          </w:p>
        </w:tc>
        <w:tc>
          <w:tcPr>
            <w:tcW w:w="56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kern w:val="2"/>
                <w:sz w:val="21"/>
                <w:szCs w:val="21"/>
                <w:lang w:val="en-US"/>
              </w:rPr>
              <w:t>315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931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第二十条第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(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八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)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3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信息内容</w:t>
            </w:r>
          </w:p>
        </w:tc>
        <w:tc>
          <w:tcPr>
            <w:tcW w:w="564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本年收费金额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(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单位：万元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3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行政事业性收费</w:t>
            </w:r>
          </w:p>
        </w:tc>
        <w:tc>
          <w:tcPr>
            <w:tcW w:w="56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2738.71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3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1150"/>
        <w:gridCol w:w="1817"/>
        <w:gridCol w:w="610"/>
        <w:gridCol w:w="695"/>
        <w:gridCol w:w="737"/>
        <w:gridCol w:w="941"/>
        <w:gridCol w:w="872"/>
        <w:gridCol w:w="669"/>
        <w:gridCol w:w="73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367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(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本列数据的勾稽关系为：第一项加第二项之和，等于第三项加第四项之和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)</w:t>
            </w:r>
          </w:p>
        </w:tc>
        <w:tc>
          <w:tcPr>
            <w:tcW w:w="52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468" w:hRule="atLeast"/>
        </w:trPr>
        <w:tc>
          <w:tcPr>
            <w:tcW w:w="367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6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自然人</w:t>
            </w:r>
          </w:p>
        </w:tc>
        <w:tc>
          <w:tcPr>
            <w:tcW w:w="391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法人或其他组织</w:t>
            </w:r>
          </w:p>
        </w:tc>
        <w:tc>
          <w:tcPr>
            <w:tcW w:w="73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367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商业企业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科研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机构</w:t>
            </w:r>
          </w:p>
        </w:tc>
        <w:tc>
          <w:tcPr>
            <w:tcW w:w="9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社会公益组织</w:t>
            </w:r>
          </w:p>
        </w:tc>
        <w:tc>
          <w:tcPr>
            <w:tcW w:w="8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法律服务机构</w:t>
            </w:r>
          </w:p>
        </w:tc>
        <w:tc>
          <w:tcPr>
            <w:tcW w:w="6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其他</w:t>
            </w:r>
          </w:p>
        </w:tc>
        <w:tc>
          <w:tcPr>
            <w:tcW w:w="73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367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  <w:szCs w:val="21"/>
              </w:rPr>
              <w:t>22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  <w:szCs w:val="21"/>
              </w:rPr>
              <w:t>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367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461" w:hRule="atLeast"/>
        </w:trPr>
        <w:tc>
          <w:tcPr>
            <w:tcW w:w="70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三、本年度办理结果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(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一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)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予以公开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  <w:szCs w:val="21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  <w:szCs w:val="21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(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二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)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部分公开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(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区分处理的，只计这一情形，不计其他情形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)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535" w:hRule="atLeast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(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三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)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不予公开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1.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属于国家秘密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2.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其他法律行政法规禁止公开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  <w:szCs w:val="21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  <w:szCs w:val="21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3.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危及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“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三安全一稳定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”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4.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保护第三方合法权益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585" w:hRule="atLeast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5.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属于三类内部事务信息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6.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属于四类过程性信息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kern w:val="2"/>
                <w:sz w:val="21"/>
                <w:szCs w:val="21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kern w:val="2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7.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属于行政执法案卷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8.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属于行政查询事项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712" w:hRule="atLeast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(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四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)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无法提供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1.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本机关不掌握相关政府信息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kern w:val="2"/>
                <w:sz w:val="21"/>
                <w:szCs w:val="21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kern w:val="2"/>
                <w:sz w:val="21"/>
                <w:szCs w:val="21"/>
              </w:rPr>
              <w:t>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2.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没有现成信息需要另行制作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kern w:val="2"/>
                <w:sz w:val="21"/>
                <w:szCs w:val="21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kern w:val="2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3.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补正后申请内容仍不明确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(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五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)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不予处理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1.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信访举报投诉类申请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490" w:hRule="atLeast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2.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重复申请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3.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要求提供公开出版物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4.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无正当理由大量反复申请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5.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要求行政机关确认或重新出具已获取信息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587" w:hRule="atLeast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(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六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)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其他处理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1.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申请人无正当理由逾期不补正、行政机关不再处理其政府信息公开申请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2.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申请人逾期未按收费通知要求缴纳费用、行政机关不再处理其政府信息公开申请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3.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其他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(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七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)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总计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  <w:szCs w:val="21"/>
              </w:rPr>
              <w:t>21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2"/>
                <w:sz w:val="21"/>
                <w:szCs w:val="21"/>
              </w:rPr>
              <w:t>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367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四、结转下年度继续办理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  <w:szCs w:val="21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  <w:szCs w:val="21"/>
              </w:rPr>
              <w:t>1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3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46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行政复议</w:t>
            </w:r>
          </w:p>
        </w:tc>
        <w:tc>
          <w:tcPr>
            <w:tcW w:w="5899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-17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-17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-17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-17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尚未审结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-17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总计</w:t>
            </w:r>
          </w:p>
        </w:tc>
        <w:tc>
          <w:tcPr>
            <w:tcW w:w="302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-17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未经复议直接起诉</w:t>
            </w:r>
          </w:p>
        </w:tc>
        <w:tc>
          <w:tcPr>
            <w:tcW w:w="287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-17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-17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结果维持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-17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结果纠正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-17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其他结果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-17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尚未审结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-17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总计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-17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结果维持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-17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结果纠正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-17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其他结果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-17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尚未审结</w:t>
            </w:r>
          </w:p>
        </w:tc>
        <w:tc>
          <w:tcPr>
            <w:tcW w:w="4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-17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40" w:lineRule="exac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40" w:lineRule="exac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40" w:lineRule="exac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40" w:lineRule="exac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40" w:lineRule="exac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40" w:lineRule="exact"/>
              <w:ind w:left="0" w:leftChars="0" w:right="0" w:rightChars="0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40" w:lineRule="exact"/>
              <w:ind w:left="0" w:leftChars="0" w:right="0" w:rightChars="0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40" w:lineRule="exac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40" w:lineRule="exac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40" w:lineRule="exact"/>
              <w:ind w:left="0" w:leftChars="0" w:right="0" w:rightChars="0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40" w:lineRule="exac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40" w:lineRule="exac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40" w:lineRule="exac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40" w:lineRule="exac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kern w:val="2"/>
                <w:sz w:val="21"/>
                <w:szCs w:val="21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40" w:lineRule="exact"/>
              <w:ind w:left="0" w:leftChars="0" w:right="0" w:rightChars="0"/>
              <w:jc w:val="center"/>
              <w:rPr>
                <w:rFonts w:hint="eastAsia" w:eastAsia="仿宋_GB2312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  <w:lang w:bidi="ar-SA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方正黑体_GBK" w:cs="Times New Roman"/>
          <w:kern w:val="2"/>
          <w:sz w:val="32"/>
          <w:szCs w:val="32"/>
          <w:lang w:bidi="ar-SA"/>
        </w:rPr>
      </w:pPr>
      <w:r>
        <w:rPr>
          <w:rFonts w:hint="eastAsia" w:ascii="Times New Roman" w:hAnsi="Times New Roman" w:eastAsia="方正黑体_GBK" w:cs="Times New Roman"/>
          <w:kern w:val="2"/>
          <w:sz w:val="32"/>
          <w:szCs w:val="32"/>
          <w:lang w:bidi="ar-SA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kinsoku/>
        <w:wordWrap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  <w:lang w:bidi="ar-SA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  <w:lang w:bidi="ar-SA"/>
        </w:rPr>
        <w:t>2023年，南江县在推动政府信息公开工作方面取得了一定成效，但对照新时代政务公开的要求和人民群众的期盼，还存在一些不足，主要表现在：部分单位主动公开不够及时，公开的广度和深度还有待加强；基层政务公开标准化规范化建设水平有待进一步提高；政务新媒体建设和管理水平有待提高，提质增效有待进一步强化。</w:t>
      </w:r>
    </w:p>
    <w:p>
      <w:pPr>
        <w:pStyle w:val="2"/>
        <w:keepNext w:val="0"/>
        <w:keepLines w:val="0"/>
        <w:pageBreakBefore w:val="0"/>
        <w:widowControl/>
        <w:kinsoku/>
        <w:wordWrap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  <w:lang w:bidi="ar-SA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  <w:lang w:bidi="ar-SA"/>
        </w:rPr>
        <w:t>下一步改进措施：一是不断深化政府信息主动公开。主动适应新时代政府信息公开发展形势，认真贯彻政府信息公开工作要求，持续深化各项工作，加强政策解读，不断提升信息发布质量和实效。定期对全县各部门和乡镇主动公开工作开展检查，以通报整改为抓手，持续加强监督指导。二是持续深化基层政务公开。进一步探索基层政务公开工作经验，以“政务公开+”模式，以点带面全域延伸，不断提升基层政务公开标准化规范化水平，促进基层政府治理能力提升。三是持续推动政务新媒体提质增效。强化政务新媒体监管考核指标调度，细化措施，梳理单否、加分、扣分指标，分批次到政务新媒体主办单位开展指导，整体提升全县政务新媒体工作效能。</w:t>
      </w:r>
    </w:p>
    <w:p>
      <w:pPr>
        <w:pStyle w:val="2"/>
        <w:keepNext w:val="0"/>
        <w:keepLines w:val="0"/>
        <w:pageBreakBefore w:val="0"/>
        <w:widowControl/>
        <w:kinsoku/>
        <w:wordWrap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方正黑体_GBK" w:cs="Times New Roman"/>
          <w:kern w:val="2"/>
          <w:sz w:val="32"/>
          <w:szCs w:val="32"/>
          <w:lang w:bidi="ar-SA"/>
        </w:rPr>
      </w:pPr>
      <w:r>
        <w:rPr>
          <w:rFonts w:hint="eastAsia" w:ascii="Times New Roman" w:hAnsi="Times New Roman" w:eastAsia="方正黑体_GBK" w:cs="Times New Roman"/>
          <w:kern w:val="2"/>
          <w:sz w:val="32"/>
          <w:szCs w:val="32"/>
          <w:lang w:bidi="ar-SA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kinsoku/>
        <w:wordWrap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  <w:lang w:bidi="ar-SA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  <w:lang w:bidi="ar-SA"/>
        </w:rPr>
        <w:t>2023年，南江县人民政府未收取信息公开处理费，无其他需要反映事项。</w:t>
      </w:r>
    </w:p>
    <w:p>
      <w:pPr>
        <w:pStyle w:val="2"/>
        <w:keepNext w:val="0"/>
        <w:keepLines w:val="0"/>
        <w:pageBreakBefore w:val="0"/>
        <w:widowControl/>
        <w:kinsoku/>
        <w:wordWrap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right"/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  <w:lang w:bidi="ar-SA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  <w:lang w:bidi="ar-SA"/>
        </w:rPr>
        <w:t>南江县人民政府</w:t>
      </w:r>
    </w:p>
    <w:p>
      <w:pPr>
        <w:pStyle w:val="2"/>
        <w:keepNext w:val="0"/>
        <w:keepLines w:val="0"/>
        <w:pageBreakBefore w:val="0"/>
        <w:widowControl/>
        <w:kinsoku/>
        <w:wordWrap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right"/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  <w:lang w:bidi="ar-SA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  <w:lang w:bidi="ar-SA"/>
        </w:rPr>
        <w:t>2024年1月18日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</w:p>
    <w:sectPr>
      <w:pgSz w:w="11906" w:h="16838"/>
      <w:pgMar w:top="2098" w:right="1361" w:bottom="181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方正黑体_GBK"/>
    <w:panose1 w:val="020B0503020204020204"/>
    <w:charset w:val="00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AB2734"/>
    <w:rsid w:val="EFAB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2024-01-30T10:55:00Z</dcterms:created>
  <dc:creator>user</dc:creator>
  <cp:lastModifiedBy>user</cp:lastModifiedBy>
  <dcterms:modified xsi:type="dcterms:W3CDTF">2024-01-30T10:59:58Z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3BD001CAF1C48D6C3065B86500EF3D27</vt:lpwstr>
  </property>
</Properties>
</file>