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bookmarkStart w:id="0" w:name="_GoBack"/>
      <w:r>
        <w:rPr>
          <w:rFonts w:hint="eastAsia" w:ascii="方正小标宋简体" w:hAnsi="方正小标宋简体" w:eastAsia="方正小标宋简体" w:cs="方正小标宋简体"/>
          <w:b w:val="0"/>
          <w:bCs w:val="0"/>
          <w:color w:val="auto"/>
          <w:kern w:val="2"/>
          <w:sz w:val="44"/>
          <w:szCs w:val="44"/>
          <w:lang w:val="en-US" w:eastAsia="zh-CN" w:bidi="ar-SA"/>
        </w:rPr>
        <w:t>南江县应急管理局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2023年政府信息公开工作年度报告</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宋体" w:hAnsi="宋体" w:eastAsia="宋体" w:cs="宋体"/>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本报告根据《中华人民共和国政府信息公开条例》和省、市相关规定编制。本文中所列数据的统计期限从2023年1月1日起到2023年12月31日止。本年报电子版通过南江县人民政府门户网站（http://www.scnj.gov.cn/）全文公开。如对本报告有任何疑问，请与南江县应急管理局联系（地址：南江县集州街道光雾山大道朝阳段工环路24号应急管理局603办公室，联系电话：0827—8268097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2023年，南江县应急管理局坚持以习近平新时代中国特色社会主义思想为指导，认真落实国、省、市、县信息公开相关工作要求，严格执行《中华人民共和国政府信息公开条例》要求，围绕县委县政府中心工作，深入推进新时代深化政务公开工作，切实提升群众的获得感和满足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 w:hAnsi="楷体" w:eastAsia="楷体" w:cs="楷体"/>
          <w:b/>
          <w:bCs/>
          <w:i w:val="0"/>
          <w:iCs w:val="0"/>
          <w:caps w:val="0"/>
          <w:color w:val="auto"/>
          <w:spacing w:val="0"/>
          <w:sz w:val="32"/>
          <w:szCs w:val="32"/>
          <w:shd w:val="clear" w:fill="FFFFFF"/>
        </w:rPr>
        <w:t>（一）主动公开方面。</w:t>
      </w:r>
      <w:r>
        <w:rPr>
          <w:rFonts w:hint="eastAsia" w:ascii="仿宋_GB2312" w:hAnsi="仿宋_GB2312" w:eastAsia="仿宋_GB2312" w:cs="仿宋_GB2312"/>
          <w:i w:val="0"/>
          <w:iCs w:val="0"/>
          <w:caps w:val="0"/>
          <w:color w:val="auto"/>
          <w:spacing w:val="0"/>
          <w:sz w:val="32"/>
          <w:szCs w:val="32"/>
          <w:highlight w:val="none"/>
          <w:shd w:val="clear" w:fill="FFFFFF"/>
        </w:rPr>
        <w:t>2023年度通过政府门户网站政府信息公开专栏主动公开政府信息共32条，其中机关简介1条，规划计划2条，统计信息2条，财政预算/决算3条，政府采购9条，重大民生信息2条，其他法定信息13条。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 w:hAnsi="楷体" w:eastAsia="楷体" w:cs="楷体"/>
          <w:b/>
          <w:bCs/>
          <w:i w:val="0"/>
          <w:iCs w:val="0"/>
          <w:caps w:val="0"/>
          <w:color w:val="auto"/>
          <w:spacing w:val="0"/>
          <w:sz w:val="32"/>
          <w:szCs w:val="32"/>
          <w:shd w:val="clear" w:fill="FFFFFF"/>
        </w:rPr>
        <w:t>（二）依申请公开方面。</w:t>
      </w:r>
      <w:r>
        <w:rPr>
          <w:rFonts w:hint="eastAsia" w:ascii="仿宋_GB2312" w:hAnsi="仿宋_GB2312" w:eastAsia="仿宋_GB2312" w:cs="仿宋_GB2312"/>
          <w:i w:val="0"/>
          <w:iCs w:val="0"/>
          <w:caps w:val="0"/>
          <w:color w:val="auto"/>
          <w:spacing w:val="0"/>
          <w:sz w:val="32"/>
          <w:szCs w:val="32"/>
          <w:highlight w:val="none"/>
          <w:shd w:val="clear" w:fill="FFFFFF"/>
        </w:rPr>
        <w:t>完善依申请公开的具体工作措施，准确适用依申请公开各项规定，依法保障公众合理信息需求。2023年我局未收到政府信息公开申请。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 w:hAnsi="楷体" w:eastAsia="楷体" w:cs="楷体"/>
          <w:b/>
          <w:bCs/>
          <w:i w:val="0"/>
          <w:iCs w:val="0"/>
          <w:caps w:val="0"/>
          <w:color w:val="auto"/>
          <w:spacing w:val="0"/>
          <w:sz w:val="32"/>
          <w:szCs w:val="32"/>
          <w:shd w:val="clear" w:fill="FFFFFF"/>
        </w:rPr>
        <w:t>（三）政府信息管理方面。</w:t>
      </w:r>
      <w:r>
        <w:rPr>
          <w:rFonts w:hint="eastAsia" w:ascii="仿宋_GB2312" w:hAnsi="仿宋_GB2312" w:eastAsia="仿宋_GB2312" w:cs="仿宋_GB2312"/>
          <w:i w:val="0"/>
          <w:iCs w:val="0"/>
          <w:caps w:val="0"/>
          <w:color w:val="auto"/>
          <w:spacing w:val="0"/>
          <w:sz w:val="32"/>
          <w:szCs w:val="32"/>
          <w:highlight w:val="none"/>
          <w:shd w:val="clear" w:fill="FFFFFF"/>
        </w:rPr>
        <w:t>认真贯彻落实《中华人民共和国政府信息公开条例》中关于推进政府信息公开各项部署，一是对2023年1月至2023年12月期间，以县应急管理局名义印发的行政规范性文件和政策措施进行全面清理。二是优化内部信息公开相关管理制度，进一步明确股室责任分工，完善内部审核流程，确保政务信息及时、准确。本年未制定行政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 w:hAnsi="楷体" w:eastAsia="楷体" w:cs="楷体"/>
          <w:b/>
          <w:bCs/>
          <w:i w:val="0"/>
          <w:iCs w:val="0"/>
          <w:caps w:val="0"/>
          <w:color w:val="auto"/>
          <w:spacing w:val="0"/>
          <w:sz w:val="32"/>
          <w:szCs w:val="32"/>
          <w:shd w:val="clear" w:fill="FFFFFF"/>
        </w:rPr>
        <w:t>（四）平台建设方面。</w:t>
      </w:r>
      <w:r>
        <w:rPr>
          <w:rFonts w:hint="eastAsia" w:ascii="仿宋_GB2312" w:hAnsi="仿宋_GB2312" w:eastAsia="仿宋_GB2312" w:cs="仿宋_GB2312"/>
          <w:i w:val="0"/>
          <w:iCs w:val="0"/>
          <w:caps w:val="0"/>
          <w:color w:val="auto"/>
          <w:spacing w:val="0"/>
          <w:sz w:val="32"/>
          <w:szCs w:val="32"/>
          <w:highlight w:val="none"/>
          <w:shd w:val="clear" w:fill="FFFFFF"/>
        </w:rPr>
        <w:t>结合上级部门对政府信息公开的相关要求，安排办公室专人负责政府信息公开专栏管理，对网站政府信息公开栏目设置进行充实调整，及时修订政府信息公开指南，更新“政府信息公开年报”“法定主动公开内容”等内容。今年及时修订更新政府信息公开指南，加强政府信息公开专栏、建设维护，实现数据同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楷体" w:hAnsi="楷体" w:eastAsia="楷体" w:cs="楷体"/>
          <w:b/>
          <w:bCs/>
          <w:i w:val="0"/>
          <w:iCs w:val="0"/>
          <w:caps w:val="0"/>
          <w:color w:val="auto"/>
          <w:spacing w:val="0"/>
          <w:sz w:val="32"/>
          <w:szCs w:val="32"/>
          <w:shd w:val="clear" w:fill="FFFFFF"/>
        </w:rPr>
        <w:t>（五）监督保障方面。</w:t>
      </w:r>
      <w:r>
        <w:rPr>
          <w:rFonts w:hint="eastAsia" w:ascii="仿宋_GB2312" w:hAnsi="仿宋_GB2312" w:eastAsia="仿宋_GB2312" w:cs="仿宋_GB2312"/>
          <w:i w:val="0"/>
          <w:iCs w:val="0"/>
          <w:caps w:val="0"/>
          <w:color w:val="auto"/>
          <w:spacing w:val="0"/>
          <w:sz w:val="32"/>
          <w:szCs w:val="32"/>
          <w:highlight w:val="none"/>
          <w:shd w:val="clear" w:fill="FFFFFF"/>
        </w:rPr>
        <w:t>按照“谁起草谁负责”和“依法、及时、高效、准确”原则，严格加强政府信息公开管理。积极参加全县政府网站、政务公开等业务培训，不断提升业务能力，确保政府信息公开答复依法依规。加大对门户网站的督查力度，督促有关股室、直属单位及时公开工作信息，及时对规范性文件等重要文件进行解读，切实保障人民群众的知情权和监督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right="0" w:firstLine="0"/>
        <w:jc w:val="both"/>
        <w:textAlignment w:val="auto"/>
        <w:rPr>
          <w:rFonts w:hint="eastAsia" w:ascii="微软雅黑" w:hAnsi="微软雅黑" w:eastAsia="微软雅黑" w:cs="微软雅黑"/>
          <w:i w:val="0"/>
          <w:iCs w:val="0"/>
          <w:caps w:val="0"/>
          <w:color w:val="auto"/>
          <w:spacing w:val="0"/>
          <w:sz w:val="16"/>
          <w:szCs w:val="16"/>
        </w:rPr>
      </w:pPr>
      <w:r>
        <w:rPr>
          <w:rFonts w:hint="eastAsia" w:ascii="黑体" w:hAnsi="宋体" w:eastAsia="黑体" w:cs="黑体"/>
          <w:i w:val="0"/>
          <w:iCs w:val="0"/>
          <w:caps w:val="0"/>
          <w:color w:val="auto"/>
          <w:spacing w:val="0"/>
          <w:sz w:val="32"/>
          <w:szCs w:val="32"/>
          <w:shd w:val="clear" w:fill="FFFFFF"/>
        </w:rPr>
        <w:t>二、主动公开政府信息情况</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90"/>
        <w:gridCol w:w="1968"/>
        <w:gridCol w:w="1608"/>
        <w:gridCol w:w="20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8931" w:type="dxa"/>
            <w:gridSpan w:val="4"/>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ascii="仿宋_GB2312" w:hAnsi="微软雅黑" w:eastAsia="仿宋_GB2312" w:cs="仿宋_GB2312"/>
                <w:i w:val="0"/>
                <w:iCs w:val="0"/>
                <w:caps w:val="0"/>
                <w:color w:val="auto"/>
                <w:spacing w:val="0"/>
                <w:sz w:val="21"/>
                <w:szCs w:val="21"/>
              </w:rPr>
              <w:t>第二十条第</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一</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2"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信息内容</w:t>
            </w:r>
          </w:p>
        </w:tc>
        <w:tc>
          <w:tcPr>
            <w:tcW w:w="1968"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本年制发件数</w:t>
            </w:r>
          </w:p>
        </w:tc>
        <w:tc>
          <w:tcPr>
            <w:tcW w:w="1608"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本年废止件数</w:t>
            </w:r>
          </w:p>
        </w:tc>
        <w:tc>
          <w:tcPr>
            <w:tcW w:w="2065"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规章</w:t>
            </w:r>
          </w:p>
        </w:tc>
        <w:tc>
          <w:tcPr>
            <w:tcW w:w="1968"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1608"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2065"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1"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行政规范性文件</w:t>
            </w:r>
          </w:p>
        </w:tc>
        <w:tc>
          <w:tcPr>
            <w:tcW w:w="1968"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1608"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c>
          <w:tcPr>
            <w:tcW w:w="2065"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trPr>
        <w:tc>
          <w:tcPr>
            <w:tcW w:w="8931" w:type="dxa"/>
            <w:gridSpan w:val="4"/>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第二十条第</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五</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0"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信息内容</w:t>
            </w:r>
          </w:p>
        </w:tc>
        <w:tc>
          <w:tcPr>
            <w:tcW w:w="5641"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3"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行政许可</w:t>
            </w:r>
          </w:p>
        </w:tc>
        <w:tc>
          <w:tcPr>
            <w:tcW w:w="5641"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8931" w:type="dxa"/>
            <w:gridSpan w:val="4"/>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第二十条第</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六</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3"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信息内容</w:t>
            </w:r>
          </w:p>
        </w:tc>
        <w:tc>
          <w:tcPr>
            <w:tcW w:w="5641"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0"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行政处罚</w:t>
            </w:r>
          </w:p>
        </w:tc>
        <w:tc>
          <w:tcPr>
            <w:tcW w:w="5641"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eastAsiaTheme="minorEastAsia"/>
                <w:color w:val="auto"/>
                <w:lang w:val="en-US" w:eastAsia="zh-CN"/>
              </w:rPr>
            </w:pPr>
            <w:r>
              <w:rPr>
                <w:rFonts w:hint="eastAsia"/>
                <w:color w:val="auto"/>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行政强制</w:t>
            </w:r>
          </w:p>
        </w:tc>
        <w:tc>
          <w:tcPr>
            <w:tcW w:w="5641"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0" w:hRule="atLeast"/>
        </w:trPr>
        <w:tc>
          <w:tcPr>
            <w:tcW w:w="8931" w:type="dxa"/>
            <w:gridSpan w:val="4"/>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第二十条第</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八</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4"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信息内容</w:t>
            </w:r>
          </w:p>
        </w:tc>
        <w:tc>
          <w:tcPr>
            <w:tcW w:w="5641"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本年收费金额</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单位：万元</w:t>
            </w:r>
            <w:r>
              <w:rPr>
                <w:rFonts w:hint="default" w:ascii="Times New Roman" w:hAnsi="Times New Roman" w:eastAsia="微软雅黑" w:cs="Times New Roman"/>
                <w:i w:val="0"/>
                <w:iCs w:val="0"/>
                <w:caps w:val="0"/>
                <w:color w:val="auto"/>
                <w:spacing w:val="0"/>
                <w:sz w:val="21"/>
                <w:szCs w:val="21"/>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3290"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行政事业性收费</w:t>
            </w:r>
          </w:p>
        </w:tc>
        <w:tc>
          <w:tcPr>
            <w:tcW w:w="5641"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auto"/>
          <w:spacing w:val="0"/>
          <w:sz w:val="16"/>
          <w:szCs w:val="16"/>
        </w:rPr>
      </w:pPr>
      <w:r>
        <w:rPr>
          <w:rFonts w:hint="eastAsia" w:ascii="黑体" w:hAnsi="宋体" w:eastAsia="黑体" w:cs="黑体"/>
          <w:i w:val="0"/>
          <w:iCs w:val="0"/>
          <w:caps w:val="0"/>
          <w:color w:val="auto"/>
          <w:spacing w:val="0"/>
          <w:sz w:val="32"/>
          <w:szCs w:val="32"/>
          <w:shd w:val="clear" w:fill="FFFFFF"/>
        </w:rPr>
        <w:t>三、收到和处理政府信息公开申请情况</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06"/>
        <w:gridCol w:w="1150"/>
        <w:gridCol w:w="1817"/>
        <w:gridCol w:w="610"/>
        <w:gridCol w:w="695"/>
        <w:gridCol w:w="737"/>
        <w:gridCol w:w="941"/>
        <w:gridCol w:w="872"/>
        <w:gridCol w:w="669"/>
        <w:gridCol w:w="7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4" w:hRule="atLeast"/>
        </w:trPr>
        <w:tc>
          <w:tcPr>
            <w:tcW w:w="3673" w:type="dxa"/>
            <w:gridSpan w:val="3"/>
            <w:vMerge w:val="restart"/>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default" w:ascii="仿宋_GB2312" w:hAnsi="微软雅黑" w:eastAsia="仿宋_GB2312" w:cs="仿宋_GB2312"/>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本列数据的勾稽关系为：第一项加第二项之和，等于第三项加第四项之和</w:t>
            </w:r>
            <w:r>
              <w:rPr>
                <w:rFonts w:hint="default" w:ascii="仿宋_GB2312" w:hAnsi="微软雅黑" w:eastAsia="仿宋_GB2312" w:cs="仿宋_GB2312"/>
                <w:i w:val="0"/>
                <w:iCs w:val="0"/>
                <w:caps w:val="0"/>
                <w:color w:val="auto"/>
                <w:spacing w:val="0"/>
                <w:sz w:val="21"/>
                <w:szCs w:val="21"/>
              </w:rPr>
              <w:t>)</w:t>
            </w:r>
          </w:p>
        </w:tc>
        <w:tc>
          <w:tcPr>
            <w:tcW w:w="5260" w:type="dxa"/>
            <w:gridSpan w:val="7"/>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8" w:hRule="atLeast"/>
        </w:trPr>
        <w:tc>
          <w:tcPr>
            <w:tcW w:w="3673" w:type="dxa"/>
            <w:gridSpan w:val="3"/>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610"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自然人</w:t>
            </w:r>
          </w:p>
        </w:tc>
        <w:tc>
          <w:tcPr>
            <w:tcW w:w="3914" w:type="dxa"/>
            <w:gridSpan w:val="5"/>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法人或其他组织</w:t>
            </w:r>
          </w:p>
        </w:tc>
        <w:tc>
          <w:tcPr>
            <w:tcW w:w="736"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eastAsia" w:ascii="仿宋_GB2312" w:hAnsi="微软雅黑" w:eastAsia="仿宋_GB2312" w:cs="仿宋_GB2312"/>
                <w:i w:val="0"/>
                <w:iCs w:val="0"/>
                <w:caps w:val="0"/>
                <w:color w:val="auto"/>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17" w:hRule="atLeast"/>
        </w:trPr>
        <w:tc>
          <w:tcPr>
            <w:tcW w:w="3673" w:type="dxa"/>
            <w:gridSpan w:val="3"/>
            <w:vMerge w:val="continue"/>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61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商业企业</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科研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机构</w:t>
            </w:r>
          </w:p>
        </w:tc>
        <w:tc>
          <w:tcPr>
            <w:tcW w:w="941"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社会公益组织</w:t>
            </w:r>
          </w:p>
        </w:tc>
        <w:tc>
          <w:tcPr>
            <w:tcW w:w="872"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法律服务机构</w:t>
            </w:r>
          </w:p>
        </w:tc>
        <w:tc>
          <w:tcPr>
            <w:tcW w:w="669"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其他</w:t>
            </w:r>
          </w:p>
        </w:tc>
        <w:tc>
          <w:tcPr>
            <w:tcW w:w="736"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3" w:hRule="atLeast"/>
        </w:trPr>
        <w:tc>
          <w:tcPr>
            <w:tcW w:w="3673"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eastAsia" w:ascii="仿宋_GB2312" w:hAnsi="微软雅黑" w:eastAsia="仿宋_GB2312" w:cs="仿宋_GB2312"/>
                <w:i w:val="0"/>
                <w:iCs w:val="0"/>
                <w:caps w:val="0"/>
                <w:color w:val="auto"/>
                <w:spacing w:val="0"/>
                <w:sz w:val="21"/>
                <w:szCs w:val="21"/>
              </w:rPr>
              <w:t>一、本年新收政府信息公开申请数量</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7" w:hRule="atLeast"/>
        </w:trPr>
        <w:tc>
          <w:tcPr>
            <w:tcW w:w="3673"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eastAsia" w:ascii="仿宋_GB2312" w:hAnsi="微软雅黑" w:eastAsia="仿宋_GB2312" w:cs="仿宋_GB2312"/>
                <w:i w:val="0"/>
                <w:iCs w:val="0"/>
                <w:caps w:val="0"/>
                <w:color w:val="auto"/>
                <w:spacing w:val="0"/>
                <w:sz w:val="21"/>
                <w:szCs w:val="21"/>
              </w:rPr>
              <w:t>二、上年结转政府信息公开申请数量</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1" w:hRule="atLeast"/>
        </w:trPr>
        <w:tc>
          <w:tcPr>
            <w:tcW w:w="706" w:type="dxa"/>
            <w:vMerge w:val="restart"/>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eastAsia" w:ascii="仿宋_GB2312" w:hAnsi="微软雅黑" w:eastAsia="仿宋_GB2312" w:cs="仿宋_GB2312"/>
                <w:i w:val="0"/>
                <w:iCs w:val="0"/>
                <w:caps w:val="0"/>
                <w:color w:val="auto"/>
                <w:spacing w:val="0"/>
                <w:sz w:val="21"/>
                <w:szCs w:val="21"/>
              </w:rPr>
              <w:t>三、本年度办理结果</w:t>
            </w:r>
          </w:p>
        </w:tc>
        <w:tc>
          <w:tcPr>
            <w:tcW w:w="2967"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一</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予以公开</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5"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2967"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二</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部分公开</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区分处理的，只计这一情形，不计其他情形</w:t>
            </w:r>
            <w:r>
              <w:rPr>
                <w:rFonts w:hint="default" w:ascii="Times New Roman" w:hAnsi="Times New Roman" w:eastAsia="微软雅黑" w:cs="Times New Roman"/>
                <w:i w:val="0"/>
                <w:iCs w:val="0"/>
                <w:caps w:val="0"/>
                <w:color w:val="auto"/>
                <w:spacing w:val="0"/>
                <w:sz w:val="21"/>
                <w:szCs w:val="21"/>
              </w:rPr>
              <w:t>)</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5"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三</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不予公开</w:t>
            </w: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1.</w:t>
            </w:r>
            <w:r>
              <w:rPr>
                <w:rFonts w:hint="eastAsia" w:ascii="仿宋_GB2312" w:hAnsi="微软雅黑" w:eastAsia="仿宋_GB2312" w:cs="仿宋_GB2312"/>
                <w:i w:val="0"/>
                <w:iCs w:val="0"/>
                <w:caps w:val="0"/>
                <w:color w:val="auto"/>
                <w:spacing w:val="0"/>
                <w:sz w:val="21"/>
                <w:szCs w:val="21"/>
              </w:rPr>
              <w:t>属于国家秘密</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1"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2.</w:t>
            </w:r>
            <w:r>
              <w:rPr>
                <w:rFonts w:hint="eastAsia" w:ascii="仿宋_GB2312" w:hAnsi="微软雅黑" w:eastAsia="仿宋_GB2312" w:cs="仿宋_GB2312"/>
                <w:i w:val="0"/>
                <w:iCs w:val="0"/>
                <w:caps w:val="0"/>
                <w:color w:val="auto"/>
                <w:spacing w:val="0"/>
                <w:sz w:val="21"/>
                <w:szCs w:val="21"/>
              </w:rPr>
              <w:t>其他法律行政法规禁止公开</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9"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3.</w:t>
            </w:r>
            <w:r>
              <w:rPr>
                <w:rFonts w:hint="eastAsia" w:ascii="仿宋_GB2312" w:hAnsi="微软雅黑" w:eastAsia="仿宋_GB2312" w:cs="仿宋_GB2312"/>
                <w:i w:val="0"/>
                <w:iCs w:val="0"/>
                <w:caps w:val="0"/>
                <w:color w:val="auto"/>
                <w:spacing w:val="0"/>
                <w:sz w:val="21"/>
                <w:szCs w:val="21"/>
              </w:rPr>
              <w:t>危及</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三安全一稳定</w:t>
            </w:r>
            <w:r>
              <w:rPr>
                <w:rFonts w:hint="default" w:ascii="Times New Roman" w:hAnsi="Times New Roman" w:eastAsia="微软雅黑" w:cs="Times New Roman"/>
                <w:i w:val="0"/>
                <w:iCs w:val="0"/>
                <w:caps w:val="0"/>
                <w:color w:val="auto"/>
                <w:spacing w:val="0"/>
                <w:sz w:val="21"/>
                <w:szCs w:val="21"/>
              </w:rPr>
              <w:t>”</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3"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4.</w:t>
            </w:r>
            <w:r>
              <w:rPr>
                <w:rFonts w:hint="eastAsia" w:ascii="仿宋_GB2312" w:hAnsi="微软雅黑" w:eastAsia="仿宋_GB2312" w:cs="仿宋_GB2312"/>
                <w:i w:val="0"/>
                <w:iCs w:val="0"/>
                <w:caps w:val="0"/>
                <w:color w:val="auto"/>
                <w:spacing w:val="0"/>
                <w:sz w:val="21"/>
                <w:szCs w:val="21"/>
              </w:rPr>
              <w:t>保护第三方合法权益</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5"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5.</w:t>
            </w:r>
            <w:r>
              <w:rPr>
                <w:rFonts w:hint="eastAsia" w:ascii="仿宋_GB2312" w:hAnsi="微软雅黑" w:eastAsia="仿宋_GB2312" w:cs="仿宋_GB2312"/>
                <w:i w:val="0"/>
                <w:iCs w:val="0"/>
                <w:caps w:val="0"/>
                <w:color w:val="auto"/>
                <w:spacing w:val="0"/>
                <w:sz w:val="21"/>
                <w:szCs w:val="21"/>
              </w:rPr>
              <w:t>属于三类内部事务信息</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1"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6.</w:t>
            </w:r>
            <w:r>
              <w:rPr>
                <w:rFonts w:hint="eastAsia" w:ascii="仿宋_GB2312" w:hAnsi="微软雅黑" w:eastAsia="仿宋_GB2312" w:cs="仿宋_GB2312"/>
                <w:i w:val="0"/>
                <w:iCs w:val="0"/>
                <w:caps w:val="0"/>
                <w:color w:val="auto"/>
                <w:spacing w:val="0"/>
                <w:sz w:val="21"/>
                <w:szCs w:val="21"/>
              </w:rPr>
              <w:t>属于四类过程性信息</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9"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7.</w:t>
            </w:r>
            <w:r>
              <w:rPr>
                <w:rFonts w:hint="eastAsia" w:ascii="仿宋_GB2312" w:hAnsi="微软雅黑" w:eastAsia="仿宋_GB2312" w:cs="仿宋_GB2312"/>
                <w:i w:val="0"/>
                <w:iCs w:val="0"/>
                <w:caps w:val="0"/>
                <w:color w:val="auto"/>
                <w:spacing w:val="0"/>
                <w:sz w:val="21"/>
                <w:szCs w:val="21"/>
              </w:rPr>
              <w:t>属于行政执法案卷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eastAsiaTheme="minorEastAsia"/>
                <w:color w:val="auto"/>
                <w:lang w:eastAsia="zh-CN"/>
              </w:rPr>
            </w:pPr>
            <w:r>
              <w:rPr>
                <w:rFonts w:hint="eastAsia" w:ascii="Times New Roman" w:hAnsi="Times New Roman" w:eastAsia="微软雅黑" w:cs="Times New Roman"/>
                <w:i w:val="0"/>
                <w:iCs w:val="0"/>
                <w:caps w:val="0"/>
                <w:color w:val="auto"/>
                <w:spacing w:val="0"/>
                <w:sz w:val="21"/>
                <w:szCs w:val="21"/>
                <w:lang w:val="en-US" w:eastAsia="zh-CN"/>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0"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8.</w:t>
            </w:r>
            <w:r>
              <w:rPr>
                <w:rFonts w:hint="eastAsia" w:ascii="仿宋_GB2312" w:hAnsi="微软雅黑" w:eastAsia="仿宋_GB2312" w:cs="仿宋_GB2312"/>
                <w:i w:val="0"/>
                <w:iCs w:val="0"/>
                <w:caps w:val="0"/>
                <w:color w:val="auto"/>
                <w:spacing w:val="0"/>
                <w:sz w:val="21"/>
                <w:szCs w:val="21"/>
              </w:rPr>
              <w:t>属于行政查询事项</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12"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四</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无法提供</w:t>
            </w: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1.</w:t>
            </w:r>
            <w:r>
              <w:rPr>
                <w:rFonts w:hint="eastAsia" w:ascii="仿宋_GB2312" w:hAnsi="微软雅黑" w:eastAsia="仿宋_GB2312" w:cs="仿宋_GB2312"/>
                <w:i w:val="0"/>
                <w:iCs w:val="0"/>
                <w:caps w:val="0"/>
                <w:color w:val="auto"/>
                <w:spacing w:val="0"/>
                <w:sz w:val="21"/>
                <w:szCs w:val="21"/>
              </w:rPr>
              <w:t>本机关不掌握相关政府信息</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7"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2.</w:t>
            </w:r>
            <w:r>
              <w:rPr>
                <w:rFonts w:hint="eastAsia" w:ascii="仿宋_GB2312" w:hAnsi="微软雅黑" w:eastAsia="仿宋_GB2312" w:cs="仿宋_GB2312"/>
                <w:i w:val="0"/>
                <w:iCs w:val="0"/>
                <w:caps w:val="0"/>
                <w:color w:val="auto"/>
                <w:spacing w:val="0"/>
                <w:sz w:val="21"/>
                <w:szCs w:val="21"/>
              </w:rPr>
              <w:t>没有现成信息需要另行制作</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6"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3.</w:t>
            </w:r>
            <w:r>
              <w:rPr>
                <w:rFonts w:hint="eastAsia" w:ascii="仿宋_GB2312" w:hAnsi="微软雅黑" w:eastAsia="仿宋_GB2312" w:cs="仿宋_GB2312"/>
                <w:i w:val="0"/>
                <w:iCs w:val="0"/>
                <w:caps w:val="0"/>
                <w:color w:val="auto"/>
                <w:spacing w:val="0"/>
                <w:sz w:val="21"/>
                <w:szCs w:val="21"/>
              </w:rPr>
              <w:t>补正后申请内容仍不明确</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五</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不予处理</w:t>
            </w: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1.</w:t>
            </w:r>
            <w:r>
              <w:rPr>
                <w:rFonts w:hint="eastAsia" w:ascii="仿宋_GB2312" w:hAnsi="微软雅黑" w:eastAsia="仿宋_GB2312" w:cs="仿宋_GB2312"/>
                <w:i w:val="0"/>
                <w:iCs w:val="0"/>
                <w:caps w:val="0"/>
                <w:color w:val="auto"/>
                <w:spacing w:val="0"/>
                <w:sz w:val="21"/>
                <w:szCs w:val="21"/>
              </w:rPr>
              <w:t>信访举报投诉类申请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0"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2.</w:t>
            </w:r>
            <w:r>
              <w:rPr>
                <w:rFonts w:hint="eastAsia" w:ascii="仿宋_GB2312" w:hAnsi="微软雅黑" w:eastAsia="仿宋_GB2312" w:cs="仿宋_GB2312"/>
                <w:i w:val="0"/>
                <w:iCs w:val="0"/>
                <w:caps w:val="0"/>
                <w:color w:val="auto"/>
                <w:spacing w:val="0"/>
                <w:sz w:val="21"/>
                <w:szCs w:val="21"/>
              </w:rPr>
              <w:t>重复申请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6"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3.</w:t>
            </w:r>
            <w:r>
              <w:rPr>
                <w:rFonts w:hint="eastAsia" w:ascii="仿宋_GB2312" w:hAnsi="微软雅黑" w:eastAsia="仿宋_GB2312" w:cs="仿宋_GB2312"/>
                <w:i w:val="0"/>
                <w:iCs w:val="0"/>
                <w:caps w:val="0"/>
                <w:color w:val="auto"/>
                <w:spacing w:val="0"/>
                <w:sz w:val="21"/>
                <w:szCs w:val="21"/>
              </w:rPr>
              <w:t>要求提供公开出版物</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5"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4.</w:t>
            </w:r>
            <w:r>
              <w:rPr>
                <w:rFonts w:hint="eastAsia" w:ascii="仿宋_GB2312" w:hAnsi="微软雅黑" w:eastAsia="仿宋_GB2312" w:cs="仿宋_GB2312"/>
                <w:i w:val="0"/>
                <w:iCs w:val="0"/>
                <w:caps w:val="0"/>
                <w:color w:val="auto"/>
                <w:spacing w:val="0"/>
                <w:sz w:val="21"/>
                <w:szCs w:val="21"/>
              </w:rPr>
              <w:t>无正当理由大量反复申请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8"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5.</w:t>
            </w:r>
            <w:r>
              <w:rPr>
                <w:rFonts w:hint="eastAsia" w:ascii="仿宋_GB2312" w:hAnsi="微软雅黑" w:eastAsia="仿宋_GB2312" w:cs="仿宋_GB2312"/>
                <w:i w:val="0"/>
                <w:iCs w:val="0"/>
                <w:caps w:val="0"/>
                <w:color w:val="auto"/>
                <w:spacing w:val="0"/>
                <w:sz w:val="21"/>
                <w:szCs w:val="21"/>
              </w:rPr>
              <w:t>要求行政机关确认或重新出具已获取信息</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7"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六</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其他处理</w:t>
            </w: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1.</w:t>
            </w:r>
            <w:r>
              <w:rPr>
                <w:rFonts w:hint="eastAsia" w:ascii="仿宋_GB2312" w:hAnsi="微软雅黑" w:eastAsia="仿宋_GB2312" w:cs="仿宋_GB2312"/>
                <w:i w:val="0"/>
                <w:iCs w:val="0"/>
                <w:caps w:val="0"/>
                <w:color w:val="auto"/>
                <w:spacing w:val="0"/>
                <w:sz w:val="21"/>
                <w:szCs w:val="21"/>
              </w:rPr>
              <w:t>申请人无正当理由逾期不补正、行政机关不再处理其政府信息公开申请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7"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2.</w:t>
            </w:r>
            <w:r>
              <w:rPr>
                <w:rFonts w:hint="eastAsia" w:ascii="仿宋_GB2312" w:hAnsi="微软雅黑" w:eastAsia="仿宋_GB2312" w:cs="仿宋_GB2312"/>
                <w:i w:val="0"/>
                <w:iCs w:val="0"/>
                <w:caps w:val="0"/>
                <w:color w:val="auto"/>
                <w:spacing w:val="0"/>
                <w:sz w:val="21"/>
                <w:szCs w:val="21"/>
              </w:rPr>
              <w:t>申请人逾期未按收费通知要求缴纳费用、行政机关不再处理其政府信息公开申请</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0"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150"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181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3.</w:t>
            </w:r>
            <w:r>
              <w:rPr>
                <w:rFonts w:hint="eastAsia" w:ascii="仿宋_GB2312" w:hAnsi="微软雅黑" w:eastAsia="仿宋_GB2312" w:cs="仿宋_GB2312"/>
                <w:i w:val="0"/>
                <w:iCs w:val="0"/>
                <w:caps w:val="0"/>
                <w:color w:val="auto"/>
                <w:spacing w:val="0"/>
                <w:sz w:val="21"/>
                <w:szCs w:val="21"/>
              </w:rPr>
              <w:t>其他</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7" w:hRule="atLeast"/>
        </w:trPr>
        <w:tc>
          <w:tcPr>
            <w:tcW w:w="706"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i w:val="0"/>
                <w:iCs w:val="0"/>
                <w:caps w:val="0"/>
                <w:color w:val="auto"/>
                <w:spacing w:val="0"/>
                <w:sz w:val="16"/>
                <w:szCs w:val="16"/>
              </w:rPr>
            </w:pPr>
          </w:p>
        </w:tc>
        <w:tc>
          <w:tcPr>
            <w:tcW w:w="2967" w:type="dxa"/>
            <w:gridSpan w:val="2"/>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color w:val="auto"/>
              </w:rPr>
            </w:pP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七</w:t>
            </w:r>
            <w:r>
              <w:rPr>
                <w:rFonts w:hint="default" w:ascii="Times New Roman" w:hAnsi="Times New Roman" w:eastAsia="微软雅黑" w:cs="Times New Roman"/>
                <w:i w:val="0"/>
                <w:iCs w:val="0"/>
                <w:caps w:val="0"/>
                <w:color w:val="auto"/>
                <w:spacing w:val="0"/>
                <w:sz w:val="21"/>
                <w:szCs w:val="21"/>
              </w:rPr>
              <w:t>)</w:t>
            </w:r>
            <w:r>
              <w:rPr>
                <w:rFonts w:hint="eastAsia" w:ascii="仿宋_GB2312" w:hAnsi="微软雅黑" w:eastAsia="仿宋_GB2312" w:cs="仿宋_GB2312"/>
                <w:i w:val="0"/>
                <w:iCs w:val="0"/>
                <w:caps w:val="0"/>
                <w:color w:val="auto"/>
                <w:spacing w:val="0"/>
                <w:sz w:val="21"/>
                <w:szCs w:val="21"/>
              </w:rPr>
              <w:t>总计</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color w:val="auto"/>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color w:val="auto"/>
                <w:sz w:val="21"/>
                <w:szCs w:val="21"/>
                <w:lang w:eastAsia="zh-CN"/>
              </w:rPr>
            </w:pPr>
            <w:r>
              <w:rPr>
                <w:rFonts w:hint="eastAsia"/>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3" w:hRule="atLeast"/>
        </w:trPr>
        <w:tc>
          <w:tcPr>
            <w:tcW w:w="3673" w:type="dxa"/>
            <w:gridSpan w:val="3"/>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color w:val="auto"/>
              </w:rPr>
            </w:pPr>
            <w:r>
              <w:rPr>
                <w:rFonts w:hint="eastAsia" w:ascii="仿宋_GB2312" w:hAnsi="微软雅黑" w:eastAsia="仿宋_GB2312" w:cs="仿宋_GB2312"/>
                <w:i w:val="0"/>
                <w:iCs w:val="0"/>
                <w:caps w:val="0"/>
                <w:color w:val="auto"/>
                <w:spacing w:val="0"/>
                <w:sz w:val="21"/>
                <w:szCs w:val="21"/>
              </w:rPr>
              <w:t>四、结转下年度继续办理</w:t>
            </w:r>
          </w:p>
        </w:tc>
        <w:tc>
          <w:tcPr>
            <w:tcW w:w="61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9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7"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941"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872"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669"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c>
          <w:tcPr>
            <w:tcW w:w="736"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color w:val="auto"/>
                <w:sz w:val="21"/>
                <w:szCs w:val="21"/>
              </w:rPr>
            </w:pPr>
            <w:r>
              <w:rPr>
                <w:rFonts w:hint="default" w:ascii="Times New Roman" w:hAnsi="Times New Roman" w:eastAsia="微软雅黑" w:cs="Times New Roman"/>
                <w:i w:val="0"/>
                <w:iCs w:val="0"/>
                <w:caps w:val="0"/>
                <w:color w:val="auto"/>
                <w:spacing w:val="0"/>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0" w:right="0" w:firstLine="0"/>
        <w:jc w:val="both"/>
        <w:textAlignment w:val="auto"/>
        <w:rPr>
          <w:rFonts w:hint="eastAsia" w:ascii="微软雅黑" w:hAnsi="微软雅黑" w:eastAsia="微软雅黑" w:cs="微软雅黑"/>
          <w:i w:val="0"/>
          <w:iCs w:val="0"/>
          <w:caps w:val="0"/>
          <w:color w:val="auto"/>
          <w:spacing w:val="0"/>
          <w:sz w:val="16"/>
          <w:szCs w:val="16"/>
        </w:rPr>
      </w:pPr>
      <w:r>
        <w:rPr>
          <w:rFonts w:hint="eastAsia" w:ascii="黑体" w:hAnsi="宋体" w:eastAsia="黑体" w:cs="黑体"/>
          <w:i w:val="0"/>
          <w:iCs w:val="0"/>
          <w:caps w:val="0"/>
          <w:color w:val="auto"/>
          <w:spacing w:val="0"/>
          <w:sz w:val="32"/>
          <w:szCs w:val="32"/>
          <w:shd w:val="clear" w:fill="FFFFFF"/>
        </w:rPr>
        <w:t>四、政府信息公开行政复议、行政诉讼情况</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4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20" w:type="dxa"/>
            <w:gridSpan w:val="5"/>
            <w:tcBorders>
              <w:top w:val="single" w:color="auto" w:sz="8" w:space="0"/>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行政复议</w:t>
            </w:r>
          </w:p>
        </w:tc>
        <w:tc>
          <w:tcPr>
            <w:tcW w:w="5899" w:type="dxa"/>
            <w:gridSpan w:val="10"/>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color w:val="auto"/>
              </w:rPr>
            </w:pPr>
            <w:r>
              <w:rPr>
                <w:rFonts w:hint="eastAsia" w:ascii="仿宋_GB2312" w:hAnsi="微软雅黑" w:eastAsia="仿宋_GB2312" w:cs="仿宋_GB2312"/>
                <w:i w:val="0"/>
                <w:iCs w:val="0"/>
                <w:caps w:val="0"/>
                <w:color w:val="auto"/>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5" w:hRule="atLeast"/>
        </w:trPr>
        <w:tc>
          <w:tcPr>
            <w:tcW w:w="604" w:type="dxa"/>
            <w:vMerge w:val="restart"/>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结果维持</w:t>
            </w:r>
          </w:p>
        </w:tc>
        <w:tc>
          <w:tcPr>
            <w:tcW w:w="604" w:type="dxa"/>
            <w:vMerge w:val="restart"/>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结果纠正</w:t>
            </w:r>
          </w:p>
        </w:tc>
        <w:tc>
          <w:tcPr>
            <w:tcW w:w="604"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其他结果</w:t>
            </w:r>
          </w:p>
        </w:tc>
        <w:tc>
          <w:tcPr>
            <w:tcW w:w="604"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尚未审结</w:t>
            </w:r>
          </w:p>
        </w:tc>
        <w:tc>
          <w:tcPr>
            <w:tcW w:w="604" w:type="dxa"/>
            <w:vMerge w:val="restart"/>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总计</w:t>
            </w:r>
          </w:p>
        </w:tc>
        <w:tc>
          <w:tcPr>
            <w:tcW w:w="3020" w:type="dxa"/>
            <w:gridSpan w:val="5"/>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未经复议直接起诉</w:t>
            </w:r>
          </w:p>
        </w:tc>
        <w:tc>
          <w:tcPr>
            <w:tcW w:w="2879" w:type="dxa"/>
            <w:gridSpan w:val="5"/>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0" w:hRule="atLeast"/>
        </w:trPr>
        <w:tc>
          <w:tcPr>
            <w:tcW w:w="604" w:type="dxa"/>
            <w:vMerge w:val="continue"/>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i w:val="0"/>
                <w:iCs w:val="0"/>
                <w:caps w:val="0"/>
                <w:color w:val="auto"/>
                <w:spacing w:val="0"/>
                <w:sz w:val="16"/>
                <w:szCs w:val="16"/>
              </w:rPr>
            </w:pPr>
          </w:p>
        </w:tc>
        <w:tc>
          <w:tcPr>
            <w:tcW w:w="604" w:type="dxa"/>
            <w:vMerge w:val="continue"/>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i w:val="0"/>
                <w:iCs w:val="0"/>
                <w:caps w:val="0"/>
                <w:color w:val="auto"/>
                <w:spacing w:val="0"/>
                <w:sz w:val="16"/>
                <w:szCs w:val="16"/>
              </w:rPr>
            </w:pPr>
          </w:p>
        </w:tc>
        <w:tc>
          <w:tcPr>
            <w:tcW w:w="604"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i w:val="0"/>
                <w:iCs w:val="0"/>
                <w:caps w:val="0"/>
                <w:color w:val="auto"/>
                <w:spacing w:val="0"/>
                <w:sz w:val="16"/>
                <w:szCs w:val="16"/>
              </w:rPr>
            </w:pPr>
          </w:p>
        </w:tc>
        <w:tc>
          <w:tcPr>
            <w:tcW w:w="604"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i w:val="0"/>
                <w:iCs w:val="0"/>
                <w:caps w:val="0"/>
                <w:color w:val="auto"/>
                <w:spacing w:val="0"/>
                <w:sz w:val="16"/>
                <w:szCs w:val="16"/>
              </w:rPr>
            </w:pPr>
          </w:p>
        </w:tc>
        <w:tc>
          <w:tcPr>
            <w:tcW w:w="604" w:type="dxa"/>
            <w:vMerge w:val="continue"/>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i w:val="0"/>
                <w:iCs w:val="0"/>
                <w:caps w:val="0"/>
                <w:color w:val="auto"/>
                <w:spacing w:val="0"/>
                <w:sz w:val="16"/>
                <w:szCs w:val="16"/>
              </w:rPr>
            </w:pP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结果维持</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结果纠正</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其他结果</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尚未审结</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总计</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结果维持</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结果纠正</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其他结果</w:t>
            </w:r>
          </w:p>
        </w:tc>
        <w:tc>
          <w:tcPr>
            <w:tcW w:w="604"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尚未审结</w:t>
            </w:r>
          </w:p>
        </w:tc>
        <w:tc>
          <w:tcPr>
            <w:tcW w:w="463" w:type="dxa"/>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17"/>
              <w:jc w:val="center"/>
              <w:textAlignment w:val="auto"/>
              <w:rPr>
                <w:color w:val="auto"/>
              </w:rPr>
            </w:pPr>
            <w:r>
              <w:rPr>
                <w:rFonts w:hint="eastAsia" w:ascii="仿宋_GB2312" w:hAnsi="微软雅黑" w:eastAsia="仿宋_GB2312" w:cs="仿宋_GB2312"/>
                <w:i w:val="0"/>
                <w:iCs w:val="0"/>
                <w:caps w:val="0"/>
                <w:color w:val="auto"/>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6" w:hRule="atLeast"/>
        </w:trPr>
        <w:tc>
          <w:tcPr>
            <w:tcW w:w="604"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60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c>
          <w:tcPr>
            <w:tcW w:w="463"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default" w:ascii="Times New Roman" w:hAnsi="Times New Roman" w:eastAsia="微软雅黑" w:cs="Times New Roman"/>
                <w:i w:val="0"/>
                <w:iCs w:val="0"/>
                <w:caps w:val="0"/>
                <w:color w:val="auto"/>
                <w:spacing w:val="0"/>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微软雅黑" w:hAnsi="微软雅黑" w:eastAsia="微软雅黑" w:cs="微软雅黑"/>
          <w:i w:val="0"/>
          <w:iCs w:val="0"/>
          <w:caps w:val="0"/>
          <w:color w:val="auto"/>
          <w:spacing w:val="0"/>
          <w:sz w:val="16"/>
          <w:szCs w:val="16"/>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宋体" w:eastAsia="黑体" w:cs="黑体"/>
          <w:b/>
          <w:bCs/>
          <w:i w:val="0"/>
          <w:iCs w:val="0"/>
          <w:caps w:val="0"/>
          <w:color w:val="auto"/>
          <w:spacing w:val="0"/>
          <w:sz w:val="32"/>
          <w:szCs w:val="32"/>
          <w:shd w:val="clear" w:fill="FFFFFF"/>
        </w:rPr>
      </w:pPr>
      <w:r>
        <w:rPr>
          <w:rFonts w:hint="eastAsia" w:ascii="黑体" w:hAnsi="宋体" w:eastAsia="黑体" w:cs="黑体"/>
          <w:b/>
          <w:bCs/>
          <w:i w:val="0"/>
          <w:iCs w:val="0"/>
          <w:caps w:val="0"/>
          <w:color w:val="auto"/>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2023年我局不断完善工作制度，加大主动公开力度，政府信息公开工作取得积极成效，但仍存在一些问题，主要表现在：信息公开的规范性有待进一步提升，信息发布存在部分内容格式不规范现象。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改进措施：一是加强学习，不断加强同县委、县政府相关办公室的沟通交流，积极请教经验，不断提高我局信息公开规范化水平；二是强化信息审核发布，严格落实“三审三校”制度，安排责任心强的同志从事相关工作，提升信息质量，定期开展督查指导，发现问题及时整改，确保全局政务公开工作的有序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宋体" w:eastAsia="黑体" w:cs="黑体"/>
          <w:b/>
          <w:bCs/>
          <w:i w:val="0"/>
          <w:iCs w:val="0"/>
          <w:caps w:val="0"/>
          <w:color w:val="auto"/>
          <w:spacing w:val="0"/>
          <w:sz w:val="32"/>
          <w:szCs w:val="32"/>
          <w:shd w:val="clear" w:fill="FFFFFF"/>
        </w:rPr>
      </w:pPr>
      <w:r>
        <w:rPr>
          <w:rFonts w:hint="eastAsia" w:ascii="黑体" w:hAnsi="宋体" w:eastAsia="黑体" w:cs="黑体"/>
          <w:b/>
          <w:bCs/>
          <w:i w:val="0"/>
          <w:iCs w:val="0"/>
          <w:caps w:val="0"/>
          <w:color w:val="auto"/>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2023年，南江县应急管理局无收取信息处理费的情况，无其他需要报告事项。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南江县应急管理局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i w:val="0"/>
          <w:iCs w:val="0"/>
          <w:caps w:val="0"/>
          <w:color w:val="auto"/>
          <w:spacing w:val="0"/>
          <w:sz w:val="32"/>
          <w:szCs w:val="32"/>
          <w:highlight w:val="none"/>
          <w:shd w:val="clear" w:fill="FFFFFF"/>
        </w:rPr>
        <w:t>2024年1月5日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2098" w:right="1361" w:bottom="181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BFB95"/>
    <w:rsid w:val="1BEF4333"/>
    <w:rsid w:val="3CFDCE8A"/>
    <w:rsid w:val="5AFF2964"/>
    <w:rsid w:val="67EF5F01"/>
    <w:rsid w:val="70717D93"/>
    <w:rsid w:val="7BF9D992"/>
    <w:rsid w:val="7CCF0249"/>
    <w:rsid w:val="7F6B0C7B"/>
    <w:rsid w:val="7FFDC10D"/>
    <w:rsid w:val="97EF0485"/>
    <w:rsid w:val="C6DF0D6D"/>
    <w:rsid w:val="CBEDA664"/>
    <w:rsid w:val="D47ED17D"/>
    <w:rsid w:val="DF7BE66F"/>
    <w:rsid w:val="DFFBAE79"/>
    <w:rsid w:val="EF9E9E16"/>
    <w:rsid w:val="F7DFADC4"/>
    <w:rsid w:val="FB79B8D4"/>
    <w:rsid w:val="FEFBFB95"/>
    <w:rsid w:val="FEFF9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2024-01-17T12:26:00Z</dcterms:created>
  <dc:creator>user</dc:creator>
  <cp:lastModifiedBy>user</cp:lastModifiedBy>
  <dcterms:modified xsi:type="dcterms:W3CDTF">2024-01-16T17:30:55Z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595A140293BC2F6FCF4CA665F70EA751</vt:lpwstr>
  </property>
</Properties>
</file>