
<file path=[Content_Types].xml><?xml version="1.0" encoding="utf-8"?>
<Types xmlns="http://schemas.openxmlformats.org/package/2006/content-types">
  <Default Extension="xls" ContentType="application/vnd.ms-excel"/>
  <Default Extension="xlsx" ContentType="application/vnd.openxmlformats-officedocument.spreadsheetml.shee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宋体" w:eastAsia="方正小标宋简体"/>
          <w:sz w:val="72"/>
          <w:szCs w:val="72"/>
        </w:rPr>
      </w:pPr>
      <w:bookmarkStart w:id="0" w:name="_Toc15396597"/>
      <w:bookmarkStart w:id="1" w:name="_Toc15396475"/>
      <w:bookmarkStart w:id="2" w:name="_Toc15377193"/>
      <w:bookmarkStart w:id="3" w:name="_Toc15378441"/>
      <w:bookmarkStart w:id="4" w:name="_Toc1537742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2022年度</w:t>
      </w:r>
      <w:bookmarkEnd w:id="0"/>
      <w:bookmarkEnd w:id="1"/>
      <w:bookmarkEnd w:id="2"/>
      <w:bookmarkEnd w:id="3"/>
      <w:bookmarkEnd w:id="4"/>
    </w:p>
    <w:p>
      <w:pPr>
        <w:adjustRightInd w:val="0"/>
        <w:snapToGrid w:val="0"/>
        <w:spacing w:line="360" w:lineRule="auto"/>
        <w:jc w:val="center"/>
        <w:outlineLvl w:val="0"/>
        <w:rPr>
          <w:rFonts w:ascii="方正小标宋简体" w:hAnsi="方正小标宋简体" w:eastAsia="方正小标宋简体" w:cs="方正小标宋简体"/>
          <w:sz w:val="52"/>
          <w:szCs w:val="52"/>
        </w:rPr>
      </w:pPr>
      <w:bookmarkStart w:id="6" w:name="_Toc15377426"/>
      <w:bookmarkStart w:id="7" w:name="_Toc15396476"/>
      <w:bookmarkStart w:id="8" w:name="_Toc15377194"/>
      <w:bookmarkStart w:id="9" w:name="_Toc15378442"/>
      <w:bookmarkStart w:id="10" w:name="_Toc15396598"/>
      <w:r>
        <w:rPr>
          <w:rFonts w:hint="eastAsia" w:ascii="方正小标宋简体" w:hAnsi="方正小标宋简体" w:eastAsia="方正小标宋简体" w:cs="方正小标宋简体"/>
          <w:sz w:val="52"/>
          <w:szCs w:val="52"/>
        </w:rPr>
        <w:t>四川省</w:t>
      </w:r>
      <w:bookmarkEnd w:id="5"/>
      <w:bookmarkStart w:id="11" w:name="_Toc15306268"/>
      <w:r>
        <w:rPr>
          <w:rFonts w:hint="eastAsia" w:ascii="方正小标宋简体" w:hAnsi="方正小标宋简体" w:eastAsia="方正小标宋简体" w:cs="方正小标宋简体"/>
          <w:sz w:val="52"/>
          <w:szCs w:val="52"/>
        </w:rPr>
        <w:t>巴中市南江县医疗保障局</w:t>
      </w:r>
    </w:p>
    <w:p>
      <w:pPr>
        <w:adjustRightInd w:val="0"/>
        <w:snapToGrid w:val="0"/>
        <w:spacing w:line="360" w:lineRule="auto"/>
        <w:jc w:val="center"/>
        <w:outlineLvl w:val="0"/>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公开时间：2023年8月31日</w:t>
      </w:r>
    </w:p>
    <w:p/>
    <w:p>
      <w:pPr>
        <w:pStyle w:val="11"/>
        <w:adjustRightInd w:val="0"/>
        <w:snapToGrid w:val="0"/>
        <w:spacing w:before="0" w:line="440" w:lineRule="exact"/>
        <w:jc w:val="distribute"/>
        <w:rPr>
          <w:rFonts w:cstheme="minorBidi"/>
          <w:sz w:val="24"/>
          <w:szCs w:val="24"/>
        </w:rPr>
      </w:pPr>
      <w:r>
        <w:rPr>
          <w:rFonts w:hint="eastAsia"/>
          <w:sz w:val="24"/>
        </w:rPr>
        <w:t>第一部分</w:t>
      </w:r>
      <w:r>
        <w:rPr>
          <w:sz w:val="24"/>
        </w:rPr>
        <w:t xml:space="preserve"> </w:t>
      </w:r>
      <w:r>
        <w:rPr>
          <w:rFonts w:hint="eastAsia"/>
          <w:sz w:val="24"/>
        </w:rPr>
        <w:t>部门概况</w:t>
      </w:r>
      <w:r>
        <w:rPr>
          <w:rFonts w:hint="eastAsia" w:ascii="方正仿宋简体" w:hAnsi="方正仿宋简体" w:eastAsia="方正仿宋简体" w:cs="方正仿宋简体"/>
        </w:rPr>
        <w:t>.........................................................................4</w:t>
      </w:r>
    </w:p>
    <w:p>
      <w:pPr>
        <w:pStyle w:val="11"/>
        <w:adjustRightInd w:val="0"/>
        <w:snapToGrid w:val="0"/>
        <w:spacing w:before="0" w:line="440" w:lineRule="exact"/>
        <w:jc w:val="distribute"/>
        <w:rPr>
          <w:sz w:val="24"/>
        </w:rPr>
      </w:pPr>
      <w:r>
        <w:rPr>
          <w:rFonts w:hint="eastAsia"/>
          <w:sz w:val="24"/>
        </w:rPr>
        <w:t>一、部门职责</w:t>
      </w:r>
      <w:r>
        <w:rPr>
          <w:rFonts w:hint="eastAsia" w:ascii="方正仿宋简体" w:hAnsi="方正仿宋简体" w:eastAsia="方正仿宋简体" w:cs="方正仿宋简体"/>
        </w:rPr>
        <w:t>.........................................................................4</w:t>
      </w:r>
    </w:p>
    <w:p>
      <w:pPr>
        <w:pStyle w:val="11"/>
        <w:adjustRightInd w:val="0"/>
        <w:snapToGrid w:val="0"/>
        <w:spacing w:before="0" w:line="440" w:lineRule="exact"/>
        <w:jc w:val="distribute"/>
        <w:rPr>
          <w:rFonts w:cstheme="minorBidi"/>
          <w:sz w:val="24"/>
        </w:rPr>
      </w:pPr>
      <w:r>
        <w:rPr>
          <w:rFonts w:hint="eastAsia"/>
          <w:sz w:val="24"/>
        </w:rPr>
        <w:t>二、机构设置</w:t>
      </w:r>
      <w:r>
        <w:rPr>
          <w:rFonts w:hint="eastAsia" w:ascii="方正仿宋简体" w:hAnsi="方正仿宋简体" w:eastAsia="方正仿宋简体" w:cs="方正仿宋简体"/>
        </w:rPr>
        <w:t>.........................................................................5</w:t>
      </w:r>
    </w:p>
    <w:p>
      <w:pPr>
        <w:pStyle w:val="11"/>
        <w:adjustRightInd w:val="0"/>
        <w:snapToGrid w:val="0"/>
        <w:spacing w:before="0" w:line="440" w:lineRule="exact"/>
        <w:jc w:val="left"/>
        <w:rPr>
          <w:sz w:val="24"/>
          <w:szCs w:val="24"/>
        </w:rPr>
      </w:pPr>
      <w:r>
        <w:rPr>
          <w:rFonts w:hint="eastAsia"/>
          <w:sz w:val="24"/>
        </w:rPr>
        <w:t>第二部分 2022年度部门决算情况说明</w:t>
      </w:r>
      <w:r>
        <w:rPr>
          <w:rFonts w:hint="eastAsia" w:ascii="方正仿宋简体" w:hAnsi="方正仿宋简体" w:eastAsia="方正仿宋简体" w:cs="方正仿宋简体"/>
        </w:rPr>
        <w:t>.....................................................6</w:t>
      </w:r>
    </w:p>
    <w:p>
      <w:pPr>
        <w:pStyle w:val="12"/>
        <w:adjustRightInd w:val="0"/>
        <w:snapToGrid w:val="0"/>
        <w:spacing w:line="440" w:lineRule="exact"/>
        <w:jc w:val="left"/>
        <w:rPr>
          <w:rFonts w:ascii="仿宋" w:hAnsi="仿宋" w:eastAsia="仿宋" w:cstheme="minorBidi"/>
          <w:sz w:val="24"/>
        </w:rPr>
      </w:pPr>
      <w:r>
        <w:rPr>
          <w:rFonts w:hint="eastAsia"/>
          <w:sz w:val="24"/>
        </w:rPr>
        <w:t>一、收入支出决算总体情况说明</w:t>
      </w:r>
      <w:r>
        <w:rPr>
          <w:rFonts w:hint="eastAsia" w:ascii="方正仿宋简体" w:hAnsi="方正仿宋简体" w:eastAsia="方正仿宋简体" w:cs="方正仿宋简体"/>
          <w:sz w:val="28"/>
          <w:szCs w:val="28"/>
        </w:rPr>
        <w:t>........................................................6</w:t>
      </w:r>
    </w:p>
    <w:p>
      <w:pPr>
        <w:pStyle w:val="12"/>
        <w:adjustRightInd w:val="0"/>
        <w:snapToGrid w:val="0"/>
        <w:spacing w:line="440" w:lineRule="exact"/>
        <w:jc w:val="left"/>
        <w:rPr>
          <w:rFonts w:ascii="仿宋" w:hAnsi="仿宋" w:eastAsia="仿宋" w:cstheme="minorBidi"/>
          <w:sz w:val="24"/>
        </w:rPr>
      </w:pPr>
      <w:r>
        <w:rPr>
          <w:rFonts w:hint="eastAsia"/>
          <w:sz w:val="24"/>
        </w:rPr>
        <w:t>二、收入决算情况说明</w:t>
      </w:r>
      <w:r>
        <w:rPr>
          <w:rFonts w:hint="eastAsia" w:ascii="方正仿宋简体" w:hAnsi="方正仿宋简体" w:eastAsia="方正仿宋简体" w:cs="方正仿宋简体"/>
          <w:sz w:val="28"/>
          <w:szCs w:val="28"/>
        </w:rPr>
        <w:t>.....................................................................6</w:t>
      </w:r>
      <w:r>
        <w:rPr>
          <w:rFonts w:hint="eastAsia"/>
          <w:sz w:val="24"/>
        </w:rPr>
        <w:t>三、支出决算情况说明</w:t>
      </w:r>
      <w:r>
        <w:rPr>
          <w:rFonts w:hint="eastAsia" w:ascii="方正仿宋简体" w:hAnsi="方正仿宋简体" w:eastAsia="方正仿宋简体" w:cs="方正仿宋简体"/>
          <w:sz w:val="28"/>
          <w:szCs w:val="28"/>
        </w:rPr>
        <w:t>.....................................................................7</w:t>
      </w:r>
      <w:r>
        <w:rPr>
          <w:rFonts w:hint="eastAsia"/>
          <w:sz w:val="24"/>
        </w:rPr>
        <w:t>四、财政拨款收入支出决算总体情况说明</w:t>
      </w:r>
      <w:r>
        <w:rPr>
          <w:rFonts w:hint="eastAsia" w:ascii="方正仿宋简体" w:hAnsi="方正仿宋简体" w:eastAsia="方正仿宋简体" w:cs="方正仿宋简体"/>
          <w:sz w:val="28"/>
          <w:szCs w:val="28"/>
        </w:rPr>
        <w:t>............................................8</w:t>
      </w:r>
    </w:p>
    <w:p>
      <w:pPr>
        <w:pStyle w:val="12"/>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r>
        <w:rPr>
          <w:rFonts w:hint="eastAsia" w:ascii="方正仿宋简体" w:hAnsi="方正仿宋简体" w:eastAsia="方正仿宋简体" w:cs="方正仿宋简体"/>
          <w:sz w:val="28"/>
          <w:szCs w:val="28"/>
        </w:rPr>
        <w:t>......................................9</w:t>
      </w:r>
    </w:p>
    <w:p>
      <w:pPr>
        <w:pStyle w:val="12"/>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r>
        <w:rPr>
          <w:rFonts w:hint="eastAsia" w:ascii="方正仿宋简体" w:hAnsi="方正仿宋简体" w:eastAsia="方正仿宋简体" w:cs="方正仿宋简体"/>
          <w:sz w:val="28"/>
          <w:szCs w:val="28"/>
        </w:rPr>
        <w:t>..............................11</w:t>
      </w:r>
      <w:r>
        <w:rPr>
          <w:rFonts w:hint="eastAsia"/>
          <w:sz w:val="24"/>
        </w:rPr>
        <w:t>七、财政拨款“三公”经费支出决算情况说明</w:t>
      </w:r>
      <w:r>
        <w:rPr>
          <w:rFonts w:hint="eastAsia" w:ascii="方正仿宋简体" w:hAnsi="方正仿宋简体" w:eastAsia="方正仿宋简体" w:cs="方正仿宋简体"/>
          <w:sz w:val="28"/>
          <w:szCs w:val="28"/>
        </w:rPr>
        <w:t>....................................11</w:t>
      </w:r>
    </w:p>
    <w:p>
      <w:pPr>
        <w:pStyle w:val="12"/>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r>
        <w:rPr>
          <w:rFonts w:hint="eastAsia" w:ascii="方正仿宋简体" w:hAnsi="方正仿宋简体" w:eastAsia="方正仿宋简体" w:cs="方正仿宋简体"/>
          <w:sz w:val="28"/>
          <w:szCs w:val="28"/>
        </w:rPr>
        <w:t>.............................................13</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r>
        <w:rPr>
          <w:rFonts w:hint="eastAsia" w:ascii="方正仿宋简体" w:hAnsi="方正仿宋简体" w:eastAsia="方正仿宋简体" w:cs="方正仿宋简体"/>
          <w:sz w:val="28"/>
          <w:szCs w:val="28"/>
        </w:rPr>
        <w:t>...........................................13</w:t>
      </w:r>
    </w:p>
    <w:p>
      <w:pPr>
        <w:pStyle w:val="12"/>
        <w:adjustRightInd w:val="0"/>
        <w:snapToGrid w:val="0"/>
        <w:spacing w:line="440" w:lineRule="exact"/>
        <w:jc w:val="left"/>
        <w:rPr>
          <w:rFonts w:asciiTheme="minorEastAsia" w:hAnsiTheme="minorEastAsia" w:eastAsiaTheme="minorEastAsia" w:cstheme="minorEastAsia"/>
          <w:sz w:val="24"/>
        </w:rPr>
      </w:pPr>
      <w:r>
        <w:rPr>
          <w:rStyle w:val="18"/>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ascii="方正仿宋简体" w:hAnsi="方正仿宋简体" w:eastAsia="方正仿宋简体" w:cs="方正仿宋简体"/>
          <w:sz w:val="28"/>
          <w:szCs w:val="28"/>
        </w:rPr>
        <w:t>..........................................................13</w:t>
      </w:r>
    </w:p>
    <w:p>
      <w:pPr>
        <w:pStyle w:val="11"/>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Pr>
          <w:rFonts w:hint="eastAsia" w:ascii="方正仿宋简体" w:hAnsi="方正仿宋简体" w:eastAsia="方正仿宋简体" w:cs="方正仿宋简体"/>
        </w:rPr>
        <w:t>............................................................................14</w:t>
      </w:r>
      <w:r>
        <w:rPr>
          <w:rFonts w:hint="eastAsia"/>
          <w:sz w:val="24"/>
        </w:rPr>
        <w:t>第四部分</w:t>
      </w:r>
      <w:r>
        <w:rPr>
          <w:sz w:val="24"/>
        </w:rPr>
        <w:t xml:space="preserve"> </w:t>
      </w:r>
      <w:r>
        <w:rPr>
          <w:rFonts w:hint="eastAsia"/>
          <w:sz w:val="24"/>
        </w:rPr>
        <w:t>附件</w:t>
      </w:r>
      <w:r>
        <w:rPr>
          <w:rFonts w:hint="eastAsia" w:ascii="方正仿宋简体" w:hAnsi="方正仿宋简体" w:eastAsia="方正仿宋简体" w:cs="方正仿宋简体"/>
        </w:rPr>
        <w:t>..................................................................................17</w:t>
      </w:r>
    </w:p>
    <w:p>
      <w:pPr>
        <w:pStyle w:val="11"/>
        <w:adjustRightInd w:val="0"/>
        <w:snapToGrid w:val="0"/>
        <w:spacing w:before="0" w:line="440" w:lineRule="exact"/>
        <w:jc w:val="left"/>
        <w:rPr>
          <w:rFonts w:hint="default" w:eastAsia="方正仿宋简体" w:cstheme="minorBidi"/>
          <w:sz w:val="24"/>
          <w:szCs w:val="24"/>
          <w:lang w:val="en-US" w:eastAsia="zh-CN"/>
        </w:rPr>
      </w:pPr>
      <w:r>
        <w:rPr>
          <w:rFonts w:hint="eastAsia"/>
          <w:sz w:val="24"/>
        </w:rPr>
        <w:t>第五部分</w:t>
      </w:r>
      <w:r>
        <w:rPr>
          <w:sz w:val="24"/>
        </w:rPr>
        <w:t xml:space="preserve"> </w:t>
      </w:r>
      <w:r>
        <w:rPr>
          <w:rFonts w:hint="eastAsia"/>
          <w:sz w:val="24"/>
        </w:rPr>
        <w:t>附表</w:t>
      </w:r>
      <w:r>
        <w:rPr>
          <w:rFonts w:hint="eastAsia" w:ascii="方正仿宋简体" w:hAnsi="方正仿宋简体" w:eastAsia="方正仿宋简体" w:cs="方正仿宋简体"/>
        </w:rPr>
        <w:t>..................................................................................</w:t>
      </w:r>
      <w:r>
        <w:rPr>
          <w:rFonts w:hint="eastAsia" w:ascii="方正仿宋简体" w:hAnsi="方正仿宋简体" w:eastAsia="方正仿宋简体" w:cs="方正仿宋简体"/>
          <w:lang w:val="en-US" w:eastAsia="zh-CN"/>
        </w:rPr>
        <w:t>44</w:t>
      </w:r>
    </w:p>
    <w:p>
      <w:pPr>
        <w:pStyle w:val="12"/>
        <w:adjustRightInd w:val="0"/>
        <w:snapToGrid w:val="0"/>
        <w:spacing w:line="440" w:lineRule="exact"/>
        <w:jc w:val="left"/>
        <w:rPr>
          <w:sz w:val="24"/>
        </w:rPr>
      </w:pPr>
      <w:r>
        <w:rPr>
          <w:rFonts w:hint="eastAsia"/>
          <w:sz w:val="24"/>
        </w:rPr>
        <w:t>一、收入支出决算总表</w:t>
      </w:r>
    </w:p>
    <w:p>
      <w:pPr>
        <w:pStyle w:val="12"/>
        <w:adjustRightInd w:val="0"/>
        <w:snapToGrid w:val="0"/>
        <w:spacing w:line="440" w:lineRule="exact"/>
        <w:jc w:val="left"/>
        <w:rPr>
          <w:sz w:val="24"/>
        </w:rPr>
      </w:pPr>
      <w:r>
        <w:rPr>
          <w:rFonts w:hint="eastAsia"/>
          <w:sz w:val="24"/>
        </w:rPr>
        <w:t>二、收入决算表</w:t>
      </w:r>
    </w:p>
    <w:p>
      <w:pPr>
        <w:pStyle w:val="12"/>
        <w:adjustRightInd w:val="0"/>
        <w:snapToGrid w:val="0"/>
        <w:spacing w:line="440" w:lineRule="exact"/>
        <w:jc w:val="left"/>
        <w:rPr>
          <w:sz w:val="24"/>
        </w:rPr>
      </w:pPr>
      <w:r>
        <w:rPr>
          <w:rFonts w:hint="eastAsia"/>
          <w:sz w:val="24"/>
        </w:rPr>
        <w:t>三、支出决算表</w:t>
      </w:r>
    </w:p>
    <w:p>
      <w:pPr>
        <w:pStyle w:val="12"/>
        <w:adjustRightInd w:val="0"/>
        <w:snapToGrid w:val="0"/>
        <w:spacing w:line="440" w:lineRule="exact"/>
        <w:jc w:val="left"/>
        <w:rPr>
          <w:sz w:val="24"/>
        </w:rPr>
      </w:pPr>
      <w:r>
        <w:rPr>
          <w:rFonts w:hint="eastAsia"/>
          <w:sz w:val="24"/>
        </w:rPr>
        <w:t>四、财政拨款收入支出决算总表</w:t>
      </w:r>
    </w:p>
    <w:p>
      <w:pPr>
        <w:pStyle w:val="12"/>
        <w:adjustRightInd w:val="0"/>
        <w:snapToGrid w:val="0"/>
        <w:spacing w:line="440" w:lineRule="exact"/>
        <w:jc w:val="left"/>
        <w:rPr>
          <w:sz w:val="24"/>
        </w:rPr>
      </w:pPr>
      <w:r>
        <w:rPr>
          <w:rFonts w:hint="eastAsia"/>
          <w:sz w:val="24"/>
        </w:rPr>
        <w:t>五、财政拨款支出决算明细表</w:t>
      </w:r>
    </w:p>
    <w:p>
      <w:pPr>
        <w:pStyle w:val="12"/>
        <w:adjustRightInd w:val="0"/>
        <w:snapToGrid w:val="0"/>
        <w:spacing w:line="440" w:lineRule="exact"/>
        <w:jc w:val="left"/>
        <w:rPr>
          <w:sz w:val="24"/>
        </w:rPr>
      </w:pPr>
      <w:r>
        <w:rPr>
          <w:rFonts w:hint="eastAsia"/>
          <w:sz w:val="24"/>
        </w:rPr>
        <w:t>六、一般公共预算财政拨款支出决算表</w:t>
      </w:r>
    </w:p>
    <w:p>
      <w:pPr>
        <w:pStyle w:val="12"/>
        <w:adjustRightInd w:val="0"/>
        <w:snapToGrid w:val="0"/>
        <w:spacing w:line="440" w:lineRule="exact"/>
        <w:jc w:val="left"/>
        <w:rPr>
          <w:sz w:val="24"/>
        </w:rPr>
      </w:pPr>
      <w:r>
        <w:rPr>
          <w:rFonts w:hint="eastAsia"/>
          <w:sz w:val="24"/>
        </w:rPr>
        <w:t>七、一般公共预算财政拨款支出决算明细表</w:t>
      </w:r>
    </w:p>
    <w:p>
      <w:pPr>
        <w:pStyle w:val="12"/>
        <w:adjustRightInd w:val="0"/>
        <w:snapToGrid w:val="0"/>
        <w:spacing w:line="440" w:lineRule="exact"/>
        <w:jc w:val="left"/>
        <w:rPr>
          <w:sz w:val="24"/>
        </w:rPr>
      </w:pPr>
      <w:r>
        <w:rPr>
          <w:rFonts w:hint="eastAsia"/>
          <w:sz w:val="24"/>
        </w:rPr>
        <w:t>八、一般公共预算财政拨款基本支出决算明细表</w:t>
      </w:r>
    </w:p>
    <w:p>
      <w:pPr>
        <w:pStyle w:val="12"/>
        <w:adjustRightInd w:val="0"/>
        <w:snapToGrid w:val="0"/>
        <w:spacing w:line="440" w:lineRule="exact"/>
        <w:jc w:val="left"/>
        <w:rPr>
          <w:sz w:val="24"/>
        </w:rPr>
      </w:pPr>
      <w:r>
        <w:rPr>
          <w:rFonts w:hint="eastAsia"/>
          <w:sz w:val="24"/>
        </w:rPr>
        <w:t>九、一般公共预算财政拨款项目支出决算表</w:t>
      </w:r>
    </w:p>
    <w:p>
      <w:pPr>
        <w:pStyle w:val="12"/>
        <w:adjustRightInd w:val="0"/>
        <w:snapToGrid w:val="0"/>
        <w:spacing w:line="440" w:lineRule="exact"/>
        <w:jc w:val="left"/>
        <w:rPr>
          <w:sz w:val="24"/>
        </w:rPr>
      </w:pPr>
      <w:r>
        <w:rPr>
          <w:rFonts w:hint="eastAsia"/>
          <w:sz w:val="24"/>
        </w:rPr>
        <w:t>十、政府性基金预算财政拨款收入支出决算表</w:t>
      </w:r>
    </w:p>
    <w:p>
      <w:pPr>
        <w:pStyle w:val="12"/>
        <w:adjustRightInd w:val="0"/>
        <w:snapToGrid w:val="0"/>
        <w:spacing w:line="440" w:lineRule="exact"/>
        <w:jc w:val="left"/>
        <w:rPr>
          <w:sz w:val="24"/>
        </w:rPr>
      </w:pPr>
      <w:r>
        <w:rPr>
          <w:rFonts w:hint="eastAsia"/>
          <w:sz w:val="24"/>
        </w:rPr>
        <w:t>十一、国有资本经营预算财政拨款收入支出决算表</w:t>
      </w:r>
    </w:p>
    <w:p>
      <w:pPr>
        <w:pStyle w:val="12"/>
        <w:adjustRightInd w:val="0"/>
        <w:snapToGrid w:val="0"/>
        <w:spacing w:line="440" w:lineRule="exact"/>
        <w:jc w:val="left"/>
        <w:rPr>
          <w:sz w:val="24"/>
        </w:rPr>
      </w:pPr>
      <w:r>
        <w:rPr>
          <w:rFonts w:hint="eastAsia"/>
          <w:sz w:val="24"/>
        </w:rPr>
        <w:t>十二、国有资本经营预算财政拨款支出决算表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28"/>
          <w:rFonts w:ascii="黑体" w:hAnsi="黑体" w:eastAsia="黑体"/>
          <w:b/>
          <w:bCs w:val="0"/>
        </w:rPr>
      </w:pPr>
      <w:r>
        <w:rPr>
          <w:rFonts w:hint="eastAsia" w:ascii="黑体" w:hAnsi="黑体" w:eastAsia="黑体"/>
          <w:b w:val="0"/>
        </w:rPr>
        <w:t xml:space="preserve">第一部分 </w:t>
      </w:r>
      <w:r>
        <w:rPr>
          <w:rStyle w:val="28"/>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4"/>
        <w:numPr>
          <w:ilvl w:val="0"/>
          <w:numId w:val="1"/>
        </w:numPr>
        <w:rPr>
          <w:rFonts w:ascii="黑体" w:hAnsi="黑体" w:eastAsia="黑体"/>
          <w:b w:val="0"/>
        </w:rPr>
      </w:pPr>
      <w:r>
        <w:rPr>
          <w:rFonts w:hint="eastAsia" w:ascii="黑体" w:hAnsi="黑体" w:eastAsia="黑体"/>
          <w:b w:val="0"/>
        </w:rPr>
        <w:t>部门职责</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根据《南江县机构改革方案》（南委发</w:t>
      </w:r>
      <w:r>
        <w:rPr>
          <w:rFonts w:ascii="仿宋_GB2312" w:hAnsi="宋体" w:eastAsia="仿宋_GB2312" w:cs="宋体"/>
          <w:color w:val="000000"/>
          <w:kern w:val="0"/>
          <w:sz w:val="32"/>
        </w:rPr>
        <w:t>〔2019〕</w:t>
      </w:r>
      <w:r>
        <w:rPr>
          <w:rFonts w:hint="eastAsia" w:ascii="仿宋_GB2312" w:hAnsi="仿宋" w:eastAsia="仿宋_GB2312"/>
          <w:sz w:val="32"/>
          <w:szCs w:val="32"/>
        </w:rPr>
        <w:t xml:space="preserve">4号）和《南江县医疗保障局职能配置、内设股室机构和人员编制》（南委办〔2019〕61号）文件规定，本部门主要职责是： </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（1）组织实施医疗保险、生育保险、医疗救助、大病保险、长期护理保险等医疗保障制度，拟订全县医疗保障事业发展规划、政策和标准，并组织实施和监督检查。</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（2）组织拟订并实施医疗保障基金监督管理制度，建立健全医疗保障基金安全防控机制，保障全县医疗保障基金稳健运行。</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（3）组织拟订医疗保障筹资和待遇政策，建立健全与筹资水平相适应的待遇调整机制。组织建立并实施长期护理保险制度改革。</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（4）监督管理和执行药品、医用耗材、医疗服务项目、医疗服务设施等医疗保障目录和支付标准。</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5）承担药品、医用耗材价格和医疗服务项目、医疗服务设施收费等政策的贯彻执行，建立医保支付医药服务价格动态调整机制，推动建立市场主导的社会医药服务价格形成机制，建立价格信息监测和信息发布制度。</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（6）监督实施全县药品、医用耗材的招标采购政策。</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7）拟订全县定点医药机构协议和支付管理办法并组织实施，推进医疗保障基金支付方式改革，监督管理全县医疗保障定点医药机构。建立健全医疗保障信用评价体系和信息披露制度，监督管理定点医药机构医疗服务行为和医疗费用，依法查处医疗保障领域违法违规行为。</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（8）负责全县医疗保障经办管理和有关服务。组织实施异地就医管理和费用结算。执行医疗保障关系转移接续制度。承担全县医保经办服务管理。开展医疗保障领域对外合作交流。</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（9）负责规划并实施全县医疗保障信息化建设。组织开展医疗保障大数据管理和应用。</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（10）完成县委县政府交办的其他任务。</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11）职能转变。完善统一的城乡居民基本医疗保险和大病保险制度，不断提高医疗保障水平，建立健全覆盖全民、城乡统筹的多层次医疗保障体系，确保医疗保障基金合理使用、安全可控，推进医疗、医保、医药“三医联动”改革，更好地保障人民群众就医需求、减轻医药费用负担。</w:t>
      </w:r>
    </w:p>
    <w:p>
      <w:pPr>
        <w:ind w:firstLine="640" w:firstLineChars="200"/>
      </w:pPr>
      <w:r>
        <w:rPr>
          <w:rFonts w:hint="eastAsia" w:ascii="仿宋_GB2312" w:hAnsi="仿宋" w:eastAsia="仿宋_GB2312"/>
          <w:sz w:val="32"/>
          <w:szCs w:val="32"/>
        </w:rPr>
        <w:t>（12）与县卫生健康局的有关职责分工。两部门在医疗、医保、医药等方面加强制度、政策衔接，建立沟通协商机制，协同推进改革，提高医疗资源使用效率和医疗保障水平。</w:t>
      </w:r>
    </w:p>
    <w:p>
      <w:pPr>
        <w:pStyle w:val="4"/>
        <w:rPr>
          <w:rStyle w:val="29"/>
          <w:b w:val="0"/>
          <w:bCs w:val="0"/>
        </w:rPr>
      </w:pPr>
      <w:bookmarkStart w:id="14" w:name="_Toc15396601"/>
      <w:bookmarkStart w:id="15" w:name="_Toc15377200"/>
      <w:r>
        <w:rPr>
          <w:rFonts w:hint="eastAsia" w:ascii="黑体" w:eastAsia="黑体"/>
          <w:b w:val="0"/>
        </w:rPr>
        <w:t>二、</w:t>
      </w:r>
      <w:r>
        <w:rPr>
          <w:rFonts w:hint="eastAsia" w:ascii="黑体" w:hAnsi="黑体" w:eastAsia="黑体"/>
          <w:b w:val="0"/>
        </w:rPr>
        <w:t>机</w:t>
      </w:r>
      <w:r>
        <w:rPr>
          <w:rStyle w:val="29"/>
          <w:rFonts w:hint="eastAsia" w:ascii="黑体" w:hAnsi="黑体" w:eastAsia="黑体"/>
          <w:b w:val="0"/>
          <w:bCs w:val="0"/>
        </w:rPr>
        <w:t>构设置</w:t>
      </w:r>
      <w:bookmarkEnd w:id="14"/>
      <w:bookmarkEnd w:id="15"/>
    </w:p>
    <w:p>
      <w:pPr>
        <w:ind w:firstLine="800" w:firstLineChars="250"/>
        <w:rPr>
          <w:rFonts w:ascii="仿宋" w:hAnsi="仿宋" w:eastAsia="仿宋"/>
          <w:sz w:val="32"/>
          <w:szCs w:val="32"/>
        </w:rPr>
      </w:pPr>
      <w:r>
        <w:rPr>
          <w:rFonts w:hint="eastAsia" w:ascii="仿宋_GB2312" w:hAnsi="仿宋" w:eastAsia="仿宋_GB2312"/>
          <w:sz w:val="32"/>
          <w:szCs w:val="32"/>
        </w:rPr>
        <w:t>南江县医疗保障局组成决算单位包括南江县医疗保障局机关、</w:t>
      </w:r>
      <w:r>
        <w:rPr>
          <w:rFonts w:hint="eastAsia" w:ascii="仿宋" w:hAnsi="仿宋" w:eastAsia="仿宋" w:cs="仿宋"/>
          <w:sz w:val="32"/>
          <w:szCs w:val="32"/>
        </w:rPr>
        <w:t>南江县城乡居民医疗保险服务中心、南江县医疗保险信息中心。医保局局机关与中心合署办公，预算单位仅1个。</w:t>
      </w:r>
    </w:p>
    <w:p>
      <w:pPr>
        <w:pStyle w:val="3"/>
        <w:ind w:right="440"/>
        <w:jc w:val="center"/>
        <w:rPr>
          <w:rStyle w:val="28"/>
          <w:rFonts w:ascii="黑体" w:hAnsi="黑体" w:eastAsia="黑体"/>
          <w:b w:val="0"/>
          <w:bCs/>
        </w:rPr>
      </w:pPr>
      <w:bookmarkStart w:id="16" w:name="_Toc15396602"/>
      <w:bookmarkStart w:id="17" w:name="_Toc15377204"/>
      <w:r>
        <w:rPr>
          <w:rFonts w:hint="eastAsia" w:ascii="黑体" w:hAnsi="黑体" w:eastAsia="黑体"/>
          <w:b w:val="0"/>
        </w:rPr>
        <w:t>第二部分 2022年度</w:t>
      </w:r>
      <w:r>
        <w:rPr>
          <w:rStyle w:val="28"/>
          <w:rFonts w:hint="eastAsia" w:ascii="黑体" w:hAnsi="黑体" w:eastAsia="黑体"/>
          <w:b w:val="0"/>
          <w:bCs/>
        </w:rPr>
        <w:t>部门决算情况说明</w:t>
      </w:r>
      <w:bookmarkEnd w:id="16"/>
      <w:bookmarkEnd w:id="17"/>
    </w:p>
    <w:p/>
    <w:p>
      <w:pPr>
        <w:pStyle w:val="27"/>
        <w:numPr>
          <w:ilvl w:val="0"/>
          <w:numId w:val="2"/>
        </w:numPr>
        <w:spacing w:line="600" w:lineRule="exact"/>
        <w:ind w:firstLineChars="0"/>
        <w:outlineLvl w:val="1"/>
        <w:rPr>
          <w:rStyle w:val="29"/>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29"/>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2022年度收、支总计527.58万元、527.58万元。与2021年相比，收、支总计各增加20.79万元，增长4.1</w:t>
      </w:r>
      <w:r>
        <w:rPr>
          <w:rFonts w:ascii="仿宋" w:hAnsi="仿宋" w:eastAsia="仿宋"/>
          <w:sz w:val="32"/>
          <w:szCs w:val="32"/>
        </w:rPr>
        <w:t>%</w:t>
      </w:r>
      <w:r>
        <w:rPr>
          <w:rFonts w:hint="eastAsia" w:ascii="仿宋" w:hAnsi="仿宋" w:eastAsia="仿宋"/>
          <w:sz w:val="32"/>
          <w:szCs w:val="32"/>
        </w:rPr>
        <w:t>。主要变动原因是2022年度我</w:t>
      </w:r>
      <w:r>
        <w:rPr>
          <w:rFonts w:hint="eastAsia" w:ascii="仿宋_GB2312" w:hAnsi="仿宋" w:eastAsia="仿宋_GB2312"/>
          <w:sz w:val="32"/>
          <w:szCs w:val="32"/>
        </w:rPr>
        <w:t>单位新调入2名行政人员，2名事业人员，增加相应人员及公用经费</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
        <w:tabs>
          <w:tab w:val="left" w:pos="1092"/>
        </w:tabs>
        <w:spacing w:before="93"/>
        <w:rPr>
          <w:rFonts w:eastAsia="仿宋"/>
          <w:color w:val="4F81BD" w:themeColor="accent1"/>
          <w14:textFill>
            <w14:solidFill>
              <w14:schemeClr w14:val="accent1"/>
            </w14:solidFill>
          </w14:textFill>
        </w:rPr>
      </w:pPr>
      <w:r>
        <w:rPr>
          <w:rFonts w:hint="eastAsia" w:eastAsia="仿宋"/>
        </w:rPr>
        <w:tab/>
      </w:r>
      <w:r>
        <w:drawing>
          <wp:inline distT="0" distB="0" distL="114300" distR="114300">
            <wp:extent cx="4572000" cy="2743200"/>
            <wp:effectExtent l="4445" t="4445" r="14605" b="1460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jc w:val="left"/>
        <w:rPr>
          <w:rFonts w:ascii="仿宋_GB2312" w:eastAsia="仿宋_GB2312"/>
          <w:sz w:val="32"/>
          <w:szCs w:val="32"/>
        </w:rPr>
      </w:pPr>
    </w:p>
    <w:p>
      <w:pPr>
        <w:pStyle w:val="27"/>
        <w:numPr>
          <w:ilvl w:val="0"/>
          <w:numId w:val="2"/>
        </w:numPr>
        <w:spacing w:line="600" w:lineRule="exact"/>
        <w:ind w:firstLineChars="0"/>
        <w:outlineLvl w:val="1"/>
        <w:rPr>
          <w:rStyle w:val="29"/>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9"/>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22年本年收入合计527.58万元，其中：一般公共预算财政拨款收入527.58万元，占100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420" w:firstLineChars="200"/>
      </w:pPr>
    </w:p>
    <w:p>
      <w:pPr>
        <w:pStyle w:val="2"/>
        <w:spacing w:before="93"/>
      </w:pPr>
      <w:r>
        <w:rPr>
          <w:rFonts w:hint="eastAsia" w:hAnsi="宋体" w:cs="宋体"/>
          <w:sz w:val="32"/>
        </w:rPr>
        <w:object>
          <v:shape id="_x0000_i1025" o:spt="75" type="#_x0000_t75" style="height:232.3pt;width:395.3pt;" o:ole="t" filled="f" o:preferrelative="t" stroked="f" coordsize="21600,21600">
            <v:path/>
            <v:fill on="f" focussize="0,0"/>
            <v:stroke on="f" joinstyle="miter"/>
            <v:imagedata r:id="rId8" o:title=""/>
            <o:lock v:ext="edit" aspectratio="t"/>
            <w10:wrap type="none"/>
            <w10:anchorlock/>
          </v:shape>
          <o:OLEObject Type="Embed" ProgID="Excel.Chart.8" ShapeID="_x0000_i1025" DrawAspect="Content" ObjectID="_1468075725" r:id="rId7">
            <o:LockedField>false</o:LockedField>
          </o:OLEObject>
        </w:object>
      </w:r>
    </w:p>
    <w:p>
      <w:pPr>
        <w:pStyle w:val="2"/>
        <w:spacing w:before="93"/>
      </w:pPr>
    </w:p>
    <w:p>
      <w:pPr>
        <w:pStyle w:val="27"/>
        <w:numPr>
          <w:ilvl w:val="0"/>
          <w:numId w:val="2"/>
        </w:numPr>
        <w:spacing w:line="600" w:lineRule="exact"/>
        <w:ind w:firstLineChars="0"/>
        <w:outlineLvl w:val="1"/>
        <w:rPr>
          <w:rStyle w:val="29"/>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9"/>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shd w:val="pct10" w:color="auto" w:fill="FFFFFF"/>
        </w:rPr>
      </w:pPr>
      <w:r>
        <w:rPr>
          <w:rFonts w:ascii="仿宋" w:hAnsi="仿宋" w:eastAsia="仿宋"/>
          <w:sz w:val="32"/>
          <w:szCs w:val="32"/>
        </w:rPr>
        <w:t>20</w:t>
      </w:r>
      <w:r>
        <w:rPr>
          <w:rFonts w:hint="eastAsia" w:ascii="仿宋" w:hAnsi="仿宋" w:eastAsia="仿宋"/>
          <w:sz w:val="32"/>
          <w:szCs w:val="32"/>
        </w:rPr>
        <w:t>22年本年支出合计527.58万元，其中：基本支出497.11万元，占94.22</w:t>
      </w:r>
      <w:r>
        <w:rPr>
          <w:rFonts w:ascii="仿宋" w:hAnsi="仿宋" w:eastAsia="仿宋"/>
          <w:sz w:val="32"/>
          <w:szCs w:val="32"/>
        </w:rPr>
        <w:t>%</w:t>
      </w:r>
      <w:r>
        <w:rPr>
          <w:rFonts w:hint="eastAsia" w:ascii="仿宋" w:hAnsi="仿宋" w:eastAsia="仿宋"/>
          <w:sz w:val="32"/>
          <w:szCs w:val="32"/>
        </w:rPr>
        <w:t>；项目支出30.48万元，占5.78</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p>
    <w:p>
      <w:pPr>
        <w:pStyle w:val="2"/>
        <w:spacing w:before="93"/>
        <w:rPr>
          <w:sz w:val="32"/>
          <w:szCs w:val="32"/>
        </w:rPr>
      </w:pPr>
      <w:r>
        <w:rPr>
          <w:rFonts w:hint="eastAsia"/>
          <w:sz w:val="32"/>
          <w:szCs w:val="32"/>
        </w:rPr>
        <w:drawing>
          <wp:inline distT="0" distB="0" distL="114300" distR="114300">
            <wp:extent cx="4916805" cy="2432685"/>
            <wp:effectExtent l="4445" t="4445" r="12700" b="58420"/>
            <wp:docPr id="6" name="图表 6" descr="7b0a202020202263686172745265734964223a202232303437313338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spacing w:before="93"/>
        <w:rPr>
          <w:sz w:val="32"/>
          <w:szCs w:val="32"/>
        </w:rPr>
      </w:pPr>
    </w:p>
    <w:p>
      <w:pPr>
        <w:spacing w:line="600" w:lineRule="exact"/>
        <w:ind w:firstLine="640" w:firstLineChars="200"/>
        <w:outlineLvl w:val="1"/>
        <w:rPr>
          <w:rStyle w:val="29"/>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24"/>
      <w:bookmarkEnd w:id="25"/>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22年财政拨款收、支总计527.58万元、527.58万元。与</w:t>
      </w:r>
      <w:r>
        <w:rPr>
          <w:rFonts w:ascii="仿宋" w:hAnsi="仿宋" w:eastAsia="仿宋"/>
          <w:sz w:val="32"/>
          <w:szCs w:val="32"/>
        </w:rPr>
        <w:t>20</w:t>
      </w:r>
      <w:r>
        <w:rPr>
          <w:rFonts w:hint="eastAsia" w:ascii="仿宋" w:hAnsi="仿宋" w:eastAsia="仿宋"/>
          <w:sz w:val="32"/>
          <w:szCs w:val="32"/>
        </w:rPr>
        <w:t>21年相比，财政拨款收、支总计各增加20.79万元，增长4.1</w:t>
      </w:r>
      <w:r>
        <w:rPr>
          <w:rFonts w:ascii="仿宋" w:hAnsi="仿宋" w:eastAsia="仿宋"/>
          <w:sz w:val="32"/>
          <w:szCs w:val="32"/>
        </w:rPr>
        <w:t>%</w:t>
      </w:r>
      <w:r>
        <w:rPr>
          <w:rFonts w:hint="eastAsia" w:ascii="仿宋" w:hAnsi="仿宋" w:eastAsia="仿宋"/>
          <w:sz w:val="32"/>
          <w:szCs w:val="32"/>
        </w:rPr>
        <w:t>。主要变动原因是2022年度我</w:t>
      </w:r>
      <w:r>
        <w:rPr>
          <w:rFonts w:hint="eastAsia" w:ascii="仿宋_GB2312" w:hAnsi="仿宋" w:eastAsia="仿宋_GB2312"/>
          <w:sz w:val="32"/>
          <w:szCs w:val="32"/>
        </w:rPr>
        <w:t>单位新调入2名行政人员，2名事业人员，增加相应人员及公用经费</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p>
    <w:p>
      <w:pPr>
        <w:pStyle w:val="2"/>
        <w:spacing w:before="93"/>
      </w:pPr>
      <w:r>
        <w:drawing>
          <wp:inline distT="0" distB="0" distL="114300" distR="114300">
            <wp:extent cx="4572000" cy="2743200"/>
            <wp:effectExtent l="4445" t="4445" r="14605" b="1460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outlineLvl w:val="1"/>
        <w:rPr>
          <w:rStyle w:val="29"/>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22年一般公共预算财政拨款支出527.58万元，占本年支出合计的100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21年相比，一般公共预算财政拨款支出增加20.79万元，增长4.1</w:t>
      </w:r>
      <w:r>
        <w:rPr>
          <w:rFonts w:ascii="仿宋" w:hAnsi="仿宋" w:eastAsia="仿宋"/>
          <w:sz w:val="32"/>
          <w:szCs w:val="32"/>
        </w:rPr>
        <w:t>%</w:t>
      </w:r>
      <w:r>
        <w:rPr>
          <w:rFonts w:hint="eastAsia" w:ascii="仿宋" w:hAnsi="仿宋" w:eastAsia="仿宋"/>
          <w:sz w:val="32"/>
          <w:szCs w:val="32"/>
        </w:rPr>
        <w:t>。主要变动原因是2022年度我</w:t>
      </w:r>
      <w:r>
        <w:rPr>
          <w:rFonts w:hint="eastAsia" w:ascii="仿宋_GB2312" w:hAnsi="仿宋" w:eastAsia="仿宋_GB2312"/>
          <w:sz w:val="32"/>
          <w:szCs w:val="32"/>
        </w:rPr>
        <w:t>单位新调入2名行政人员，2名事业人员，增加相应人员及公用经费</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pStyle w:val="2"/>
        <w:spacing w:before="93"/>
        <w:rPr>
          <w:rFonts w:ascii="仿宋" w:hAnsi="仿宋" w:eastAsia="仿宋"/>
          <w:sz w:val="32"/>
          <w:szCs w:val="32"/>
        </w:rPr>
      </w:pPr>
      <w:r>
        <w:rPr>
          <w:rFonts w:hint="eastAsia" w:ascii="仿宋" w:hAnsi="仿宋" w:eastAsia="仿宋"/>
          <w:sz w:val="32"/>
          <w:szCs w:val="32"/>
        </w:rPr>
        <w:drawing>
          <wp:inline distT="0" distB="0" distL="114300" distR="114300">
            <wp:extent cx="5080000" cy="3298825"/>
            <wp:effectExtent l="4445" t="4445" r="20955" b="1143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spacing w:before="93"/>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22年一般公共预算财政拨款支出527.58万元，主要用于以下方面</w:t>
      </w:r>
      <w:r>
        <w:rPr>
          <w:rFonts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4.6万元，占0.87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522.98万元，占99.13</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pStyle w:val="2"/>
        <w:spacing w:before="93"/>
        <w:rPr>
          <w:rFonts w:ascii="仿宋" w:hAnsi="仿宋" w:eastAsia="仿宋"/>
          <w:sz w:val="32"/>
          <w:szCs w:val="32"/>
        </w:rPr>
      </w:pPr>
      <w:r>
        <w:rPr>
          <w:rFonts w:hint="eastAsia" w:ascii="仿宋" w:hAnsi="仿宋" w:eastAsia="仿宋"/>
          <w:sz w:val="32"/>
          <w:szCs w:val="32"/>
        </w:rPr>
        <w:drawing>
          <wp:inline distT="0" distB="0" distL="114300" distR="114300">
            <wp:extent cx="5080000" cy="2876550"/>
            <wp:effectExtent l="4445" t="4445" r="20955" b="52705"/>
            <wp:docPr id="10" name="图表 10" descr="7b0a202020202263686172745265734964223a202232303437313338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spacing w:before="93"/>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7213"/>
      <w:bookmarkStart w:id="32" w:name="_Toc15377444"/>
      <w:bookmarkStart w:id="33" w:name="_Toc15378460"/>
      <w:r>
        <w:rPr>
          <w:rFonts w:hint="eastAsia" w:ascii="仿宋" w:hAnsi="仿宋" w:eastAsia="仿宋"/>
          <w:b/>
          <w:sz w:val="32"/>
          <w:szCs w:val="32"/>
        </w:rPr>
        <w:t>2022年一般公共预算支出决算数为527.58</w:t>
      </w:r>
      <w:r>
        <w:rPr>
          <w:rFonts w:hint="eastAsia" w:ascii="仿宋" w:hAnsi="仿宋" w:eastAsia="仿宋"/>
          <w:sz w:val="32"/>
          <w:szCs w:val="32"/>
        </w:rPr>
        <w:t>，</w:t>
      </w:r>
      <w:r>
        <w:rPr>
          <w:rStyle w:val="17"/>
          <w:rFonts w:hint="eastAsia" w:ascii="仿宋" w:hAnsi="仿宋" w:eastAsia="仿宋"/>
          <w:bCs/>
          <w:sz w:val="32"/>
          <w:szCs w:val="32"/>
        </w:rPr>
        <w:t>完成预算100</w:t>
      </w:r>
      <w:r>
        <w:rPr>
          <w:rStyle w:val="17"/>
          <w:rFonts w:ascii="仿宋" w:hAnsi="仿宋" w:eastAsia="仿宋"/>
          <w:bCs/>
          <w:sz w:val="32"/>
          <w:szCs w:val="32"/>
        </w:rPr>
        <w:t>%</w:t>
      </w:r>
      <w:r>
        <w:rPr>
          <w:rStyle w:val="17"/>
          <w:rFonts w:hint="eastAsia" w:ascii="仿宋" w:hAnsi="仿宋" w:eastAsia="仿宋"/>
          <w:bCs/>
          <w:sz w:val="32"/>
          <w:szCs w:val="32"/>
        </w:rPr>
        <w:t>。其中：</w:t>
      </w:r>
      <w:bookmarkEnd w:id="31"/>
      <w:bookmarkEnd w:id="32"/>
      <w:bookmarkEnd w:id="33"/>
    </w:p>
    <w:p>
      <w:pPr>
        <w:spacing w:line="600" w:lineRule="exact"/>
        <w:ind w:firstLine="643" w:firstLineChars="200"/>
        <w:rPr>
          <w:rStyle w:val="17"/>
          <w:rFonts w:ascii="仿宋" w:hAnsi="仿宋" w:eastAsia="仿宋"/>
          <w:b w:val="0"/>
          <w:bCs/>
          <w:sz w:val="32"/>
          <w:szCs w:val="32"/>
        </w:rPr>
      </w:pPr>
      <w:r>
        <w:rPr>
          <w:rStyle w:val="17"/>
          <w:rFonts w:hint="eastAsia" w:ascii="仿宋" w:hAnsi="仿宋" w:eastAsia="仿宋"/>
          <w:bCs/>
          <w:sz w:val="32"/>
          <w:szCs w:val="32"/>
        </w:rPr>
        <w:t>1.社会保障和就业（类）-行政事业单位养老支出（款）-机关事业单位职业年金缴费支出（项）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支出决算为4.6万元，完成预算100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600" w:lineRule="exact"/>
        <w:ind w:firstLine="643" w:firstLineChars="200"/>
        <w:rPr>
          <w:rStyle w:val="17"/>
          <w:rFonts w:ascii="仿宋" w:hAnsi="仿宋" w:eastAsia="仿宋"/>
          <w:b w:val="0"/>
          <w:bCs/>
          <w:sz w:val="32"/>
          <w:szCs w:val="32"/>
        </w:rPr>
      </w:pPr>
      <w:r>
        <w:rPr>
          <w:rStyle w:val="17"/>
          <w:rFonts w:hint="eastAsia" w:ascii="仿宋" w:hAnsi="仿宋" w:eastAsia="仿宋"/>
          <w:bCs/>
          <w:sz w:val="32"/>
          <w:szCs w:val="32"/>
        </w:rPr>
        <w:t>2</w:t>
      </w:r>
      <w:r>
        <w:rPr>
          <w:rStyle w:val="17"/>
          <w:rFonts w:ascii="仿宋" w:hAnsi="仿宋" w:eastAsia="仿宋"/>
          <w:bCs/>
          <w:sz w:val="32"/>
          <w:szCs w:val="32"/>
        </w:rPr>
        <w:t>.</w:t>
      </w:r>
      <w:r>
        <w:rPr>
          <w:rFonts w:hint="eastAsia" w:ascii="仿宋" w:hAnsi="仿宋" w:eastAsia="仿宋"/>
          <w:b/>
          <w:bCs/>
          <w:sz w:val="32"/>
          <w:szCs w:val="32"/>
        </w:rPr>
        <w:t>卫生健康</w:t>
      </w:r>
      <w:r>
        <w:rPr>
          <w:rStyle w:val="17"/>
          <w:rFonts w:hint="eastAsia" w:ascii="仿宋" w:hAnsi="仿宋" w:eastAsia="仿宋"/>
          <w:bCs/>
          <w:sz w:val="32"/>
          <w:szCs w:val="32"/>
        </w:rPr>
        <w:t>（类）-医疗保障管理事务（款）-行政运行（项）</w:t>
      </w:r>
      <w:r>
        <w:rPr>
          <w:rStyle w:val="17"/>
          <w:rFonts w:ascii="仿宋" w:hAnsi="仿宋" w:eastAsia="仿宋"/>
          <w:bCs/>
          <w:sz w:val="32"/>
          <w:szCs w:val="32"/>
        </w:rPr>
        <w:t>:</w:t>
      </w:r>
      <w:r>
        <w:rPr>
          <w:rStyle w:val="17"/>
          <w:rFonts w:hint="eastAsia" w:ascii="仿宋" w:hAnsi="仿宋" w:eastAsia="仿宋"/>
          <w:b w:val="0"/>
          <w:bCs/>
          <w:sz w:val="32"/>
          <w:szCs w:val="32"/>
        </w:rPr>
        <w:t>支出决算为467.70万元，完成预算100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600" w:lineRule="exact"/>
        <w:ind w:firstLine="643" w:firstLineChars="200"/>
        <w:rPr>
          <w:rStyle w:val="17"/>
          <w:rFonts w:ascii="仿宋" w:hAnsi="仿宋" w:eastAsia="仿宋"/>
          <w:b w:val="0"/>
          <w:bCs/>
          <w:sz w:val="32"/>
          <w:szCs w:val="32"/>
        </w:rPr>
      </w:pPr>
      <w:r>
        <w:rPr>
          <w:rStyle w:val="17"/>
          <w:rFonts w:hint="eastAsia" w:ascii="仿宋" w:hAnsi="仿宋" w:eastAsia="仿宋"/>
          <w:bCs/>
          <w:sz w:val="32"/>
          <w:szCs w:val="32"/>
        </w:rPr>
        <w:t>3</w:t>
      </w:r>
      <w:r>
        <w:rPr>
          <w:rStyle w:val="17"/>
          <w:rFonts w:ascii="仿宋" w:hAnsi="仿宋" w:eastAsia="仿宋"/>
          <w:bCs/>
          <w:sz w:val="32"/>
          <w:szCs w:val="32"/>
        </w:rPr>
        <w:t>.</w:t>
      </w:r>
      <w:r>
        <w:rPr>
          <w:rFonts w:hint="eastAsia" w:ascii="仿宋" w:hAnsi="仿宋" w:eastAsia="仿宋"/>
          <w:b/>
          <w:bCs/>
          <w:sz w:val="32"/>
          <w:szCs w:val="32"/>
        </w:rPr>
        <w:t>卫生健康</w:t>
      </w:r>
      <w:r>
        <w:rPr>
          <w:rStyle w:val="17"/>
          <w:rFonts w:hint="eastAsia" w:ascii="仿宋" w:hAnsi="仿宋" w:eastAsia="仿宋"/>
          <w:bCs/>
          <w:sz w:val="32"/>
          <w:szCs w:val="32"/>
        </w:rPr>
        <w:t>（类）-医疗保障管理事务（款）- 一般行政管理事务（项）</w:t>
      </w:r>
      <w:r>
        <w:rPr>
          <w:rStyle w:val="17"/>
          <w:rFonts w:ascii="仿宋" w:hAnsi="仿宋" w:eastAsia="仿宋"/>
          <w:bCs/>
          <w:sz w:val="32"/>
          <w:szCs w:val="32"/>
        </w:rPr>
        <w:t>:</w:t>
      </w:r>
      <w:r>
        <w:rPr>
          <w:rStyle w:val="17"/>
          <w:rFonts w:hint="eastAsia" w:ascii="仿宋" w:hAnsi="仿宋" w:eastAsia="仿宋"/>
          <w:b w:val="0"/>
          <w:bCs/>
          <w:sz w:val="32"/>
          <w:szCs w:val="32"/>
        </w:rPr>
        <w:t>支出决算为5.48万元，完成预算100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pStyle w:val="2"/>
        <w:spacing w:before="93"/>
      </w:pPr>
      <w:r>
        <w:rPr>
          <w:rStyle w:val="17"/>
          <w:rFonts w:hint="eastAsia" w:ascii="仿宋" w:hAnsi="仿宋" w:eastAsia="仿宋"/>
          <w:b w:val="0"/>
          <w:bCs/>
          <w:sz w:val="32"/>
          <w:szCs w:val="32"/>
        </w:rPr>
        <w:t xml:space="preserve"> </w:t>
      </w:r>
    </w:p>
    <w:p>
      <w:pPr>
        <w:spacing w:line="600" w:lineRule="exact"/>
        <w:ind w:firstLine="643" w:firstLineChars="200"/>
        <w:rPr>
          <w:rStyle w:val="17"/>
          <w:rFonts w:ascii="仿宋" w:hAnsi="仿宋" w:eastAsia="仿宋"/>
          <w:b w:val="0"/>
          <w:bCs/>
          <w:sz w:val="32"/>
          <w:szCs w:val="32"/>
        </w:rPr>
      </w:pPr>
      <w:r>
        <w:rPr>
          <w:rFonts w:hint="eastAsia" w:ascii="仿宋" w:hAnsi="仿宋" w:eastAsia="仿宋"/>
          <w:b/>
          <w:bCs/>
          <w:sz w:val="32"/>
          <w:szCs w:val="32"/>
        </w:rPr>
        <w:t>4.卫生健康</w:t>
      </w:r>
      <w:r>
        <w:rPr>
          <w:rStyle w:val="17"/>
          <w:rFonts w:hint="eastAsia" w:ascii="仿宋" w:hAnsi="仿宋" w:eastAsia="仿宋"/>
          <w:bCs/>
          <w:sz w:val="32"/>
          <w:szCs w:val="32"/>
        </w:rPr>
        <w:t>（类）-医疗保障管理事务（款）-事业运行（项）</w:t>
      </w:r>
      <w:r>
        <w:rPr>
          <w:rStyle w:val="17"/>
          <w:rFonts w:ascii="仿宋" w:hAnsi="仿宋" w:eastAsia="仿宋"/>
          <w:bCs/>
          <w:sz w:val="32"/>
          <w:szCs w:val="32"/>
        </w:rPr>
        <w:t>:</w:t>
      </w:r>
      <w:r>
        <w:rPr>
          <w:rStyle w:val="17"/>
          <w:rFonts w:hint="eastAsia" w:ascii="仿宋" w:hAnsi="仿宋" w:eastAsia="仿宋"/>
          <w:b w:val="0"/>
          <w:bCs/>
          <w:sz w:val="32"/>
          <w:szCs w:val="32"/>
        </w:rPr>
        <w:t>支出决算为24.8万元，完成预算100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bCs/>
          <w:sz w:val="32"/>
          <w:szCs w:val="32"/>
        </w:rPr>
        <w:t>5.卫生健康</w:t>
      </w:r>
      <w:r>
        <w:rPr>
          <w:rStyle w:val="17"/>
          <w:rFonts w:hint="eastAsia" w:ascii="仿宋" w:hAnsi="仿宋" w:eastAsia="仿宋"/>
          <w:bCs/>
          <w:sz w:val="32"/>
          <w:szCs w:val="32"/>
        </w:rPr>
        <w:t>（类）-医疗保障管理事务（款）-其他医疗保障管理事务支出（项）</w:t>
      </w:r>
      <w:r>
        <w:rPr>
          <w:rStyle w:val="17"/>
          <w:rFonts w:ascii="仿宋" w:hAnsi="仿宋" w:eastAsia="仿宋"/>
          <w:bCs/>
          <w:sz w:val="32"/>
          <w:szCs w:val="32"/>
        </w:rPr>
        <w:t>:</w:t>
      </w:r>
      <w:r>
        <w:rPr>
          <w:rStyle w:val="17"/>
          <w:rFonts w:hint="eastAsia" w:ascii="仿宋" w:hAnsi="仿宋" w:eastAsia="仿宋"/>
          <w:b w:val="0"/>
          <w:bCs/>
          <w:sz w:val="32"/>
          <w:szCs w:val="32"/>
        </w:rPr>
        <w:t>支出决算为25万元，完成预算100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tabs>
          <w:tab w:val="right" w:pos="8306"/>
        </w:tabs>
        <w:spacing w:line="600" w:lineRule="exact"/>
        <w:ind w:firstLine="640"/>
        <w:outlineLvl w:val="1"/>
        <w:rPr>
          <w:rFonts w:ascii="黑体" w:eastAsia="黑体"/>
          <w:sz w:val="32"/>
          <w:szCs w:val="32"/>
        </w:rPr>
      </w:pPr>
      <w:bookmarkStart w:id="34" w:name="_Toc15377214"/>
      <w:bookmarkStart w:id="35" w:name="_Toc15396608"/>
    </w:p>
    <w:p>
      <w:pPr>
        <w:tabs>
          <w:tab w:val="right" w:pos="8306"/>
        </w:tabs>
        <w:spacing w:line="600" w:lineRule="exact"/>
        <w:ind w:firstLine="640"/>
        <w:outlineLvl w:val="1"/>
        <w:rPr>
          <w:rStyle w:val="29"/>
        </w:rPr>
      </w:pPr>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般公共预算财政拨款基本支出决算情况说明</w:t>
      </w:r>
      <w:bookmarkEnd w:id="34"/>
      <w:bookmarkEnd w:id="35"/>
      <w:r>
        <w:rPr>
          <w:rStyle w:val="29"/>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22年一般公共预算财政拨款基本支出497.11万元，其中：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441.54万元，主要包括：基本工资127.75万元、津贴补贴83.67万元、奖金108.89万元、绩效工资18.77万元、机关事业单位基本养老保险缴费32.98万元、职业年金缴费4.6万元、职工基本医疗保险缴费16.72万元、公务员医疗补助缴费4.52万元、其他社会保障缴费4.8万元、住房公积金34.51万元、生活补助2.21万元、奖励金2.12万元。</w:t>
      </w:r>
      <w:r>
        <w:rPr>
          <w:rFonts w:ascii="仿宋" w:hAnsi="仿宋" w:eastAsia="仿宋"/>
          <w:sz w:val="32"/>
          <w:szCs w:val="32"/>
        </w:rPr>
        <w:br w:type="textWrapping"/>
      </w:r>
      <w:r>
        <w:rPr>
          <w:rFonts w:hint="eastAsia" w:ascii="仿宋" w:hAnsi="仿宋" w:eastAsia="仿宋"/>
          <w:sz w:val="32"/>
          <w:szCs w:val="32"/>
        </w:rPr>
        <w:t>　　公用经费55.57万元，主要包括：办公费7.87万元、印刷费1万元、水费0.84万元、电费2.06万元、邮电费5万元、物业管理费0.8万元、差旅费5万元、维修（护）费0.5万元、培训费0.41万元、公务接待费0.17万元、工会经费3.7万元、福利费4.63万元、其他交通费23.09万元、其他商品和服务支出0.5万元。</w:t>
      </w:r>
    </w:p>
    <w:p>
      <w:pPr>
        <w:spacing w:line="600" w:lineRule="exact"/>
        <w:ind w:firstLine="640"/>
        <w:rPr>
          <w:rFonts w:ascii="仿宋" w:hAnsi="仿宋" w:eastAsia="仿宋"/>
          <w:b/>
          <w:sz w:val="32"/>
          <w:szCs w:val="32"/>
        </w:rPr>
      </w:pPr>
    </w:p>
    <w:p>
      <w:pPr>
        <w:spacing w:line="600" w:lineRule="exact"/>
        <w:ind w:firstLine="640"/>
        <w:outlineLvl w:val="1"/>
        <w:rPr>
          <w:rStyle w:val="29"/>
          <w:rFonts w:ascii="黑体" w:hAnsi="黑体" w:eastAsia="黑体"/>
          <w:b w:val="0"/>
        </w:rPr>
      </w:pPr>
      <w:bookmarkStart w:id="36" w:name="_Toc15396609"/>
      <w:bookmarkStart w:id="37" w:name="_Toc15377215"/>
      <w:r>
        <w:rPr>
          <w:rFonts w:hint="eastAsia" w:ascii="黑体" w:eastAsia="黑体"/>
          <w:sz w:val="32"/>
          <w:szCs w:val="32"/>
        </w:rPr>
        <w:t>七、</w:t>
      </w:r>
      <w:r>
        <w:rPr>
          <w:rStyle w:val="29"/>
          <w:rFonts w:hint="eastAsia" w:ascii="黑体" w:hAnsi="黑体" w:eastAsia="黑体"/>
          <w:b w:val="0"/>
        </w:rPr>
        <w:t>财政拨款</w:t>
      </w:r>
      <w:r>
        <w:rPr>
          <w:rStyle w:val="29"/>
          <w:rFonts w:hint="eastAsia" w:ascii="黑体" w:hAnsi="黑体" w:eastAsia="黑体"/>
        </w:rPr>
        <w:t>“</w:t>
      </w:r>
      <w:r>
        <w:rPr>
          <w:rStyle w:val="29"/>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22年“三公”经费财政拨款支出决算为0.17万元，完成预算0.92万元18.48</w:t>
      </w:r>
      <w:r>
        <w:rPr>
          <w:rFonts w:ascii="仿宋" w:hAnsi="仿宋" w:eastAsia="仿宋"/>
          <w:sz w:val="32"/>
          <w:szCs w:val="32"/>
        </w:rPr>
        <w:t>%</w:t>
      </w:r>
      <w:r>
        <w:rPr>
          <w:rFonts w:hint="eastAsia" w:ascii="仿宋" w:hAnsi="仿宋" w:eastAsia="仿宋"/>
          <w:sz w:val="32"/>
          <w:szCs w:val="32"/>
        </w:rPr>
        <w:t>，较上年减少0.37万元，下降68.52%。决算数小于预算数的主要原因是</w:t>
      </w:r>
      <w:r>
        <w:rPr>
          <w:rFonts w:hint="eastAsia" w:ascii="仿宋_GB2312" w:hAnsi="仿宋" w:eastAsia="仿宋_GB2312"/>
          <w:sz w:val="32"/>
          <w:szCs w:val="32"/>
        </w:rPr>
        <w:t>严格落实中央八项规定，减少公务接待。</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；公务接待费支出决算0.17万元，占100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pStyle w:val="2"/>
        <w:spacing w:before="93"/>
      </w:pPr>
    </w:p>
    <w:p>
      <w:pPr>
        <w:pStyle w:val="2"/>
        <w:spacing w:before="93"/>
        <w:rPr>
          <w:rFonts w:ascii="仿宋" w:hAnsi="仿宋" w:eastAsia="仿宋"/>
          <w:sz w:val="32"/>
          <w:szCs w:val="32"/>
        </w:rPr>
      </w:pPr>
      <w:r>
        <w:rPr>
          <w:rFonts w:hint="eastAsia" w:hAnsi="宋体" w:cs="宋体"/>
          <w:sz w:val="32"/>
        </w:rPr>
        <w:object>
          <v:shape id="_x0000_i1026" o:spt="75" type="#_x0000_t75" style="height:228.9pt;width:406.2pt;" o:ole="t" filled="f" o:preferrelative="t" stroked="f" coordsize="21600,21600">
            <v:path/>
            <v:fill on="f" focussize="0,0"/>
            <v:stroke on="f" joinstyle="miter"/>
            <v:imagedata r:id="rId14" o:title=""/>
            <o:lock v:ext="edit" aspectratio="t"/>
            <w10:wrap type="none"/>
            <w10:anchorlock/>
          </v:shape>
          <o:OLEObject Type="Embed" ProgID="Excel.Chart.8" ShapeID="_x0000_i1026" DrawAspect="Content" ObjectID="_1468075726" r:id="rId13">
            <o:LockedField>false</o:LockedField>
          </o:OLEObject>
        </w:object>
      </w:r>
    </w:p>
    <w:p>
      <w:pPr>
        <w:pStyle w:val="2"/>
        <w:spacing w:before="93"/>
        <w:rPr>
          <w:rFonts w:ascii="仿宋" w:hAnsi="仿宋" w:eastAsia="仿宋"/>
          <w:sz w:val="32"/>
          <w:szCs w:val="32"/>
        </w:rPr>
      </w:pPr>
    </w:p>
    <w:p>
      <w:pPr>
        <w:spacing w:line="600" w:lineRule="exact"/>
        <w:ind w:firstLine="643" w:firstLineChars="200"/>
        <w:rPr>
          <w:rStyle w:val="17"/>
          <w:rFonts w:ascii="仿宋" w:hAnsi="仿宋" w:eastAsia="仿宋"/>
          <w:b w:val="0"/>
          <w:bCs/>
          <w:sz w:val="32"/>
          <w:szCs w:val="32"/>
        </w:rPr>
      </w:pPr>
      <w:r>
        <w:rPr>
          <w:rFonts w:hint="eastAsia" w:ascii="仿宋_GB2312" w:eastAsia="仿宋_GB2312"/>
          <w:b/>
          <w:sz w:val="32"/>
          <w:szCs w:val="32"/>
        </w:rPr>
        <w:t>1.因公出国（境）经费支出</w:t>
      </w:r>
      <w:r>
        <w:rPr>
          <w:rFonts w:hint="eastAsia" w:ascii="仿宋_GB2312" w:eastAsia="仿宋_GB2312"/>
          <w:sz w:val="32"/>
          <w:szCs w:val="32"/>
        </w:rPr>
        <w:t>0万元，2022年年初</w:t>
      </w:r>
      <w:r>
        <w:rPr>
          <w:rStyle w:val="17"/>
          <w:rFonts w:hint="eastAsia" w:ascii="仿宋" w:hAnsi="仿宋" w:eastAsia="仿宋"/>
          <w:b w:val="0"/>
          <w:bCs/>
          <w:sz w:val="32"/>
          <w:szCs w:val="32"/>
        </w:rPr>
        <w:t>无预算安排。</w:t>
      </w:r>
    </w:p>
    <w:p>
      <w:pPr>
        <w:spacing w:line="600" w:lineRule="exact"/>
        <w:ind w:firstLine="643" w:firstLineChars="200"/>
        <w:rPr>
          <w:rStyle w:val="17"/>
          <w:rFonts w:ascii="仿宋" w:hAnsi="仿宋" w:eastAsia="仿宋"/>
          <w:b w:val="0"/>
          <w:bCs/>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0万元,2022年年初</w:t>
      </w:r>
      <w:r>
        <w:rPr>
          <w:rStyle w:val="17"/>
          <w:rFonts w:hint="eastAsia" w:ascii="仿宋" w:hAnsi="仿宋" w:eastAsia="仿宋"/>
          <w:b w:val="0"/>
          <w:bCs/>
          <w:sz w:val="32"/>
          <w:szCs w:val="32"/>
        </w:rPr>
        <w:t>无预算安排。</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0.17万元，</w:t>
      </w:r>
      <w:r>
        <w:rPr>
          <w:rStyle w:val="17"/>
          <w:rFonts w:hint="eastAsia" w:ascii="仿宋" w:hAnsi="仿宋" w:eastAsia="仿宋"/>
          <w:b w:val="0"/>
          <w:bCs/>
          <w:sz w:val="32"/>
          <w:szCs w:val="32"/>
        </w:rPr>
        <w:t>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21年减少0.37万元，</w:t>
      </w:r>
      <w:r>
        <w:rPr>
          <w:rFonts w:hint="eastAsia" w:ascii="仿宋" w:hAnsi="仿宋" w:eastAsia="仿宋"/>
          <w:sz w:val="32"/>
          <w:szCs w:val="32"/>
        </w:rPr>
        <w:t>下降68.52%</w:t>
      </w:r>
      <w:r>
        <w:rPr>
          <w:rFonts w:hint="eastAsia" w:ascii="仿宋_GB2312" w:eastAsia="仿宋_GB2312"/>
          <w:sz w:val="32"/>
          <w:szCs w:val="32"/>
        </w:rPr>
        <w:t>。</w:t>
      </w:r>
      <w:r>
        <w:rPr>
          <w:rFonts w:hint="eastAsia" w:ascii="仿宋" w:hAnsi="仿宋" w:eastAsia="仿宋"/>
          <w:sz w:val="32"/>
          <w:szCs w:val="32"/>
        </w:rPr>
        <w:t>主要原因是</w:t>
      </w:r>
      <w:r>
        <w:rPr>
          <w:rFonts w:hint="eastAsia" w:ascii="仿宋_GB2312" w:hAnsi="仿宋" w:eastAsia="仿宋_GB2312"/>
          <w:sz w:val="32"/>
          <w:szCs w:val="32"/>
        </w:rPr>
        <w:t>严格落实中央八项规定，减少公务接待。</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0.17</w:t>
      </w:r>
      <w:r>
        <w:rPr>
          <w:rFonts w:hint="eastAsia" w:ascii="仿宋_GB2312" w:eastAsia="仿宋_GB2312"/>
          <w:sz w:val="32"/>
          <w:szCs w:val="32"/>
        </w:rPr>
        <w:t>万元，主要用于市医保局来南江调研工作的用餐费。国内公务接待2批次，15人次，共计支出0.17万元，具体内容包括：2022年3月23日市医保局来南江调研医保业务经办工作开展情况，共计770元；2022年7月8日市医保局来南江调研医保经办工作开展情况，共计880元。</w:t>
      </w:r>
    </w:p>
    <w:p>
      <w:pPr>
        <w:spacing w:line="600" w:lineRule="exact"/>
        <w:ind w:firstLine="640"/>
        <w:outlineLvl w:val="1"/>
        <w:rPr>
          <w:rFonts w:ascii="黑体" w:eastAsia="黑体"/>
          <w:sz w:val="32"/>
          <w:szCs w:val="32"/>
        </w:rPr>
      </w:pPr>
      <w:bookmarkStart w:id="40" w:name="_Toc15396610"/>
      <w:bookmarkStart w:id="41" w:name="_Toc15377218"/>
    </w:p>
    <w:p>
      <w:pPr>
        <w:spacing w:line="600" w:lineRule="exact"/>
        <w:ind w:firstLine="640"/>
        <w:outlineLvl w:val="1"/>
        <w:rPr>
          <w:rStyle w:val="29"/>
          <w:rFonts w:ascii="黑体" w:hAnsi="黑体" w:eastAsia="黑体"/>
        </w:rPr>
      </w:pPr>
      <w:r>
        <w:rPr>
          <w:rFonts w:hint="eastAsia" w:ascii="黑体" w:eastAsia="黑体"/>
          <w:sz w:val="32"/>
          <w:szCs w:val="32"/>
        </w:rPr>
        <w:t>八、</w:t>
      </w:r>
      <w:r>
        <w:rPr>
          <w:rStyle w:val="29"/>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29"/>
          <w:rFonts w:ascii="黑体" w:hAnsi="黑体" w:eastAsia="黑体"/>
          <w:b w:val="0"/>
        </w:rPr>
      </w:pPr>
      <w:bookmarkStart w:id="42" w:name="_Toc15377219"/>
      <w:bookmarkStart w:id="43" w:name="_Toc15396611"/>
      <w:r>
        <w:rPr>
          <w:rStyle w:val="29"/>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9"/>
          <w:rFonts w:ascii="黑体" w:hAnsi="黑体" w:eastAsia="黑体"/>
          <w:b w:val="0"/>
        </w:rPr>
      </w:pPr>
      <w:bookmarkStart w:id="44" w:name="_Toc15377221"/>
      <w:bookmarkStart w:id="45" w:name="_Toc15396612"/>
      <w:r>
        <w:rPr>
          <w:rStyle w:val="29"/>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22年，南江县医疗保障局机关运行经费支出55.58万元，比</w:t>
      </w:r>
      <w:r>
        <w:rPr>
          <w:rFonts w:ascii="仿宋_GB2312" w:eastAsia="仿宋_GB2312"/>
          <w:sz w:val="32"/>
          <w:szCs w:val="32"/>
        </w:rPr>
        <w:t>20</w:t>
      </w:r>
      <w:r>
        <w:rPr>
          <w:rFonts w:hint="eastAsia" w:ascii="仿宋_GB2312" w:eastAsia="仿宋_GB2312"/>
          <w:sz w:val="32"/>
          <w:szCs w:val="32"/>
        </w:rPr>
        <w:t>21年减少47.23万元，下降45.94</w:t>
      </w:r>
      <w:r>
        <w:rPr>
          <w:rFonts w:ascii="仿宋_GB2312" w:eastAsia="仿宋_GB2312"/>
          <w:sz w:val="32"/>
          <w:szCs w:val="32"/>
        </w:rPr>
        <w:t>%</w:t>
      </w:r>
      <w:r>
        <w:rPr>
          <w:rFonts w:hint="eastAsia" w:ascii="仿宋_GB2312" w:eastAsia="仿宋_GB2312"/>
          <w:sz w:val="32"/>
          <w:szCs w:val="32"/>
        </w:rPr>
        <w:t>。主要原因是落实“过紧日子”思想，财政减少相应预算。</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hAnsi="宋体" w:eastAsia="仿宋_GB2312" w:cs="宋体"/>
          <w:kern w:val="0"/>
          <w:sz w:val="32"/>
        </w:rPr>
        <w:t>南江县医疗保障局无</w:t>
      </w:r>
      <w:r>
        <w:rPr>
          <w:rFonts w:hint="eastAsia" w:ascii="仿宋_GB2312" w:eastAsia="仿宋_GB2312"/>
          <w:sz w:val="32"/>
          <w:szCs w:val="32"/>
        </w:rPr>
        <w:t>政府采购支出。</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hAnsi="宋体" w:eastAsia="仿宋_GB2312" w:cs="宋体"/>
          <w:kern w:val="0"/>
          <w:sz w:val="32"/>
        </w:rPr>
        <w:t>南江县医疗保障局</w:t>
      </w:r>
      <w:r>
        <w:rPr>
          <w:rFonts w:hint="eastAsia" w:ascii="仿宋_GB2312" w:eastAsia="仿宋_GB2312"/>
          <w:sz w:val="32"/>
          <w:szCs w:val="32"/>
        </w:rPr>
        <w:t>共有车辆0辆。单价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根据预算绩效管理要求，本部门在2022年度预算编制阶段，组织对基金管理专项经费等5个项目开展了预算事前绩效评估，对5个项目编制了绩效目标，预算执行过程中，选取2个项目开展绩效监控。</w:t>
      </w:r>
    </w:p>
    <w:p>
      <w:pPr>
        <w:widowControl/>
        <w:ind w:firstLine="640" w:firstLineChars="200"/>
        <w:jc w:val="left"/>
        <w:rPr>
          <w:rFonts w:ascii="仿宋_GB2312" w:eastAsia="仿宋_GB2312"/>
          <w:b/>
          <w:sz w:val="32"/>
          <w:szCs w:val="32"/>
          <w:highlight w:val="none"/>
        </w:rPr>
      </w:pPr>
      <w:r>
        <w:rPr>
          <w:rFonts w:hint="eastAsia" w:ascii="仿宋_GB2312" w:hAnsi="仿宋_GB2312" w:eastAsia="仿宋_GB2312" w:cs="仿宋_GB2312"/>
          <w:sz w:val="32"/>
          <w:szCs w:val="32"/>
          <w:highlight w:val="none"/>
        </w:rPr>
        <w:t>组织对2022年度一般公共预算全面开展绩效自评，形成南江县医疗保障局部门整体绩效自评报告，其中，南江县医疗保障局部门整体绩效自评得分为9</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分，绩效自评综述：</w:t>
      </w:r>
      <w:r>
        <w:rPr>
          <w:rFonts w:hint="eastAsia" w:eastAsia="仿宋_GB2312"/>
          <w:sz w:val="32"/>
          <w:szCs w:val="32"/>
          <w:highlight w:val="none"/>
        </w:rPr>
        <w:t>本单位年初目标任务明确，目标绩效完成较好，但个性指标体系不够健全，绩效评价编制质量有待加强</w:t>
      </w:r>
      <w:r>
        <w:rPr>
          <w:rFonts w:hint="eastAsia" w:eastAsia="仿宋_GB2312"/>
          <w:sz w:val="32"/>
          <w:szCs w:val="32"/>
          <w:highlight w:val="none"/>
          <w:lang w:eastAsia="zh-CN"/>
        </w:rPr>
        <w:t>。</w:t>
      </w:r>
      <w:r>
        <w:rPr>
          <w:rFonts w:hint="eastAsia" w:ascii="仿宋_GB2312" w:hAnsi="仿宋_GB2312" w:eastAsia="仿宋_GB2312" w:cs="仿宋_GB2312"/>
          <w:sz w:val="32"/>
          <w:szCs w:val="32"/>
          <w:highlight w:val="none"/>
        </w:rPr>
        <w:t>绩效自评报告详见附件。</w:t>
      </w:r>
    </w:p>
    <w:p>
      <w:pPr>
        <w:numPr>
          <w:ilvl w:val="0"/>
          <w:numId w:val="4"/>
        </w:numPr>
        <w:spacing w:line="600" w:lineRule="exact"/>
        <w:ind w:firstLine="660" w:firstLineChars="150"/>
        <w:jc w:val="center"/>
        <w:outlineLvl w:val="0"/>
        <w:rPr>
          <w:rStyle w:val="28"/>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8"/>
          <w:rFonts w:hint="eastAsia" w:ascii="黑体" w:hAnsi="黑体" w:eastAsia="黑体"/>
          <w:b w:val="0"/>
        </w:rPr>
        <w:t>词解释</w:t>
      </w:r>
      <w:bookmarkEnd w:id="49"/>
      <w:bookmarkEnd w:id="50"/>
    </w:p>
    <w:p>
      <w:pPr>
        <w:spacing w:line="600" w:lineRule="exact"/>
        <w:jc w:val="left"/>
        <w:rPr>
          <w:rFonts w:ascii="宋体"/>
          <w:b/>
          <w:sz w:val="44"/>
          <w:szCs w:val="44"/>
        </w:rPr>
      </w:pP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r>
        <w:rPr>
          <w:rFonts w:hint="eastAsia" w:ascii="仿宋_GB2312" w:hAnsi="宋体" w:eastAsia="仿宋_GB2312" w:cs="宋体"/>
          <w:color w:val="auto"/>
          <w:sz w:val="32"/>
        </w:rPr>
        <w:t>无此项收入</w:t>
      </w:r>
      <w:r>
        <w:rPr>
          <w:rFonts w:hint="eastAsia" w:ascii="仿宋_GB2312" w:eastAsia="仿宋_GB2312"/>
          <w:color w:val="auto"/>
          <w:sz w:val="32"/>
          <w:szCs w:val="32"/>
        </w:rPr>
        <w:t>。</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r>
        <w:rPr>
          <w:rFonts w:hint="eastAsia" w:ascii="仿宋_GB2312" w:hAnsi="宋体" w:eastAsia="仿宋_GB2312" w:cs="宋体"/>
          <w:color w:val="auto"/>
          <w:sz w:val="32"/>
        </w:rPr>
        <w:t>无此项收入。</w:t>
      </w:r>
    </w:p>
    <w:p>
      <w:pPr>
        <w:pStyle w:val="26"/>
        <w:spacing w:line="560" w:lineRule="exact"/>
        <w:ind w:firstLine="640" w:firstLineChars="200"/>
        <w:rPr>
          <w:rFonts w:ascii="仿宋_GB2312" w:hAnsi="宋体" w:eastAsia="仿宋_GB2312" w:cs="宋体"/>
          <w:color w:val="auto"/>
          <w:sz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r>
        <w:rPr>
          <w:rFonts w:hint="eastAsia" w:ascii="仿宋_GB2312" w:hAnsi="宋体" w:eastAsia="仿宋_GB2312" w:cs="宋体"/>
          <w:color w:val="auto"/>
          <w:sz w:val="32"/>
        </w:rPr>
        <w:t>无此项收入。</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社会保障和就业（类）-行政事业单位养老支出（款）-机关事业单位职业年金缴费支出（项）：指单位缴纳的职业年金支出。</w:t>
      </w:r>
    </w:p>
    <w:p>
      <w:pPr>
        <w:ind w:firstLine="640" w:firstLineChars="200"/>
        <w:rPr>
          <w:rFonts w:ascii="仿宋_GB2312" w:eastAsia="仿宋_GB2312"/>
          <w:sz w:val="32"/>
          <w:szCs w:val="32"/>
        </w:rPr>
      </w:pPr>
      <w:r>
        <w:rPr>
          <w:rFonts w:hint="eastAsia" w:ascii="仿宋_GB2312" w:eastAsia="仿宋_GB2312"/>
          <w:sz w:val="32"/>
          <w:szCs w:val="32"/>
        </w:rPr>
        <w:t>10</w:t>
      </w:r>
      <w:r>
        <w:rPr>
          <w:rFonts w:ascii="仿宋_GB2312" w:eastAsia="仿宋_GB2312"/>
          <w:sz w:val="32"/>
          <w:szCs w:val="32"/>
        </w:rPr>
        <w:t>.</w:t>
      </w:r>
      <w:r>
        <w:rPr>
          <w:rFonts w:hint="eastAsia" w:ascii="仿宋_GB2312" w:eastAsia="仿宋_GB2312"/>
          <w:sz w:val="32"/>
          <w:szCs w:val="32"/>
        </w:rPr>
        <w:t>卫生健康（类）-医疗保障管理事务（款）-行政运行（项）：指医疗保障管理事务的基本支出。</w:t>
      </w:r>
    </w:p>
    <w:p>
      <w:pPr>
        <w:ind w:firstLine="640" w:firstLineChars="200"/>
        <w:rPr>
          <w:rFonts w:ascii="仿宋_GB2312" w:eastAsia="仿宋_GB2312"/>
          <w:sz w:val="32"/>
          <w:szCs w:val="32"/>
        </w:rPr>
      </w:pPr>
      <w:r>
        <w:rPr>
          <w:rFonts w:hint="eastAsia" w:ascii="仿宋_GB2312" w:eastAsia="仿宋_GB2312"/>
          <w:sz w:val="32"/>
          <w:szCs w:val="32"/>
        </w:rPr>
        <w:t>11</w:t>
      </w:r>
      <w:r>
        <w:rPr>
          <w:rFonts w:ascii="仿宋_GB2312" w:eastAsia="仿宋_GB2312"/>
          <w:sz w:val="32"/>
          <w:szCs w:val="32"/>
        </w:rPr>
        <w:t>.</w:t>
      </w:r>
      <w:r>
        <w:rPr>
          <w:rFonts w:hint="eastAsia" w:ascii="仿宋_GB2312" w:eastAsia="仿宋_GB2312"/>
          <w:sz w:val="32"/>
          <w:szCs w:val="32"/>
        </w:rPr>
        <w:t>卫生健康（类）-医疗保障管理事务（款）- 一般行政管理事务（项）：指医疗保障管理事务的其他项目支出。</w:t>
      </w:r>
    </w:p>
    <w:p>
      <w:pPr>
        <w:ind w:firstLine="640" w:firstLineChars="20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w:t>
      </w:r>
      <w:r>
        <w:rPr>
          <w:rFonts w:hint="eastAsia" w:ascii="仿宋_GB2312" w:eastAsia="仿宋_GB2312"/>
          <w:sz w:val="32"/>
          <w:szCs w:val="32"/>
        </w:rPr>
        <w:t>卫生健康（类）-医疗保障管理事务（款）- 事业运行（项）：指医疗保障管理事务的事业单位基本支出。</w:t>
      </w:r>
    </w:p>
    <w:p>
      <w:pPr>
        <w:pStyle w:val="2"/>
        <w:spacing w:before="93"/>
      </w:pPr>
      <w:r>
        <w:rPr>
          <w:rFonts w:hint="eastAsia"/>
          <w:sz w:val="32"/>
          <w:szCs w:val="32"/>
        </w:rPr>
        <w:t xml:space="preserve">   13</w:t>
      </w:r>
      <w:r>
        <w:rPr>
          <w:sz w:val="32"/>
          <w:szCs w:val="32"/>
        </w:rPr>
        <w:t>.</w:t>
      </w:r>
      <w:r>
        <w:rPr>
          <w:rFonts w:hint="eastAsia"/>
          <w:sz w:val="32"/>
          <w:szCs w:val="32"/>
        </w:rPr>
        <w:t>卫生健康（类）-医疗保障管理事务（款）- 其他医疗保障管理事务支出（项）：指其他用于医疗保障管理事务方面的支出。</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17</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18</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8"/>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28"/>
          <w:rFonts w:hint="eastAsia" w:ascii="黑体" w:hAnsi="黑体" w:eastAsia="黑体"/>
          <w:b w:val="0"/>
        </w:rPr>
        <w:t>四部分 附件</w:t>
      </w:r>
      <w:bookmarkEnd w:id="52"/>
    </w:p>
    <w:p>
      <w:pPr>
        <w:spacing w:line="572" w:lineRule="exact"/>
        <w:jc w:val="left"/>
        <w:outlineLvl w:val="0"/>
        <w:rPr>
          <w:rFonts w:ascii="黑体" w:hAnsi="黑体" w:eastAsia="黑体" w:cs="黑体"/>
          <w:sz w:val="32"/>
          <w:szCs w:val="32"/>
        </w:rPr>
      </w:pPr>
      <w:r>
        <w:rPr>
          <w:rFonts w:hint="eastAsia" w:ascii="黑体" w:hAnsi="黑体" w:eastAsia="黑体" w:cs="黑体"/>
          <w:sz w:val="32"/>
          <w:szCs w:val="32"/>
        </w:rPr>
        <w:t>附件1</w:t>
      </w:r>
    </w:p>
    <w:p>
      <w:pPr>
        <w:spacing w:line="600" w:lineRule="exact"/>
        <w:jc w:val="center"/>
        <w:rPr>
          <w:rFonts w:ascii="方正小标宋简体" w:hAnsi="宋体" w:eastAsia="方正小标宋简体"/>
          <w:color w:val="000000"/>
          <w:kern w:val="0"/>
          <w:sz w:val="40"/>
          <w:szCs w:val="44"/>
        </w:rPr>
      </w:pPr>
      <w:r>
        <w:rPr>
          <w:rFonts w:hint="eastAsia" w:ascii="方正小标宋简体" w:hAnsi="宋体" w:eastAsia="方正小标宋简体"/>
          <w:color w:val="000000"/>
          <w:kern w:val="0"/>
          <w:sz w:val="40"/>
          <w:szCs w:val="44"/>
        </w:rPr>
        <w:t>南江县医疗保障局</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202</w:t>
      </w:r>
      <w:r>
        <w:rPr>
          <w:rFonts w:hint="eastAsia" w:ascii="方正小标宋简体" w:hAnsi="宋体" w:eastAsia="方正小标宋简体"/>
          <w:color w:val="000000"/>
          <w:kern w:val="0"/>
          <w:sz w:val="40"/>
          <w:szCs w:val="44"/>
        </w:rPr>
        <w:t>2年部门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黑体" w:eastAsia="黑体" w:cs="黑体"/>
          <w:color w:val="000000"/>
          <w:kern w:val="0"/>
          <w:sz w:val="32"/>
          <w:szCs w:val="32"/>
          <w:shd w:val="clear" w:color="auto" w:fill="FFFFFF"/>
          <w:lang w:val="zh-CN"/>
        </w:rPr>
      </w:pPr>
      <w:r>
        <w:rPr>
          <w:rFonts w:hint="eastAsia" w:ascii="黑体" w:hAnsi="黑体" w:eastAsia="黑体" w:cs="黑体"/>
          <w:color w:val="000000"/>
          <w:kern w:val="0"/>
          <w:sz w:val="32"/>
          <w:szCs w:val="32"/>
          <w:shd w:val="clear" w:color="auto" w:fill="FFFFFF"/>
        </w:rPr>
        <w:t>一、</w:t>
      </w:r>
      <w:r>
        <w:rPr>
          <w:rFonts w:hint="eastAsia" w:ascii="黑体" w:hAnsi="黑体" w:eastAsia="黑体" w:cs="黑体"/>
          <w:color w:val="000000"/>
          <w:kern w:val="0"/>
          <w:sz w:val="32"/>
          <w:szCs w:val="32"/>
          <w:shd w:val="clear" w:color="auto" w:fill="FFFFFF"/>
          <w:lang w:val="zh-CN"/>
        </w:rPr>
        <w:t>部门概况</w:t>
      </w:r>
    </w:p>
    <w:p>
      <w:pPr>
        <w:spacing w:line="560" w:lineRule="exact"/>
        <w:ind w:firstLine="640" w:firstLineChars="200"/>
        <w:rPr>
          <w:rFonts w:ascii="仿宋_GB2312" w:hAnsi="宋体" w:eastAsia="仿宋_GB2312" w:cs="宋体"/>
          <w:color w:val="000000"/>
          <w:kern w:val="0"/>
          <w:sz w:val="32"/>
          <w:szCs w:val="32"/>
          <w:shd w:val="clear" w:color="auto" w:fill="FFFFFF"/>
          <w:lang w:val="zh-CN"/>
        </w:rPr>
      </w:pPr>
      <w:r>
        <w:rPr>
          <w:rFonts w:hint="eastAsia" w:ascii="楷体" w:hAnsi="楷体" w:eastAsia="楷体" w:cs="楷体"/>
          <w:color w:val="000000"/>
          <w:kern w:val="0"/>
          <w:sz w:val="32"/>
          <w:szCs w:val="32"/>
          <w:shd w:val="clear" w:color="auto" w:fill="FFFFFF"/>
          <w:lang w:val="zh-CN"/>
        </w:rPr>
        <w:t>（一）机构组成。</w:t>
      </w:r>
      <w:r>
        <w:rPr>
          <w:rFonts w:ascii="仿宋_GB2312" w:hAnsi="宋体" w:eastAsia="仿宋_GB2312" w:cs="宋体"/>
          <w:color w:val="000000"/>
          <w:kern w:val="0"/>
          <w:sz w:val="32"/>
        </w:rPr>
        <w:t>202</w:t>
      </w:r>
      <w:r>
        <w:rPr>
          <w:rFonts w:hint="eastAsia" w:ascii="仿宋_GB2312" w:hAnsi="宋体" w:eastAsia="仿宋_GB2312" w:cs="宋体"/>
          <w:color w:val="000000"/>
          <w:kern w:val="0"/>
          <w:sz w:val="32"/>
        </w:rPr>
        <w:t>2</w:t>
      </w:r>
      <w:r>
        <w:rPr>
          <w:rFonts w:ascii="仿宋_GB2312" w:hAnsi="宋体" w:eastAsia="仿宋_GB2312" w:cs="宋体"/>
          <w:color w:val="000000"/>
          <w:kern w:val="0"/>
          <w:sz w:val="32"/>
        </w:rPr>
        <w:t>年组成决算单位</w:t>
      </w:r>
      <w:r>
        <w:rPr>
          <w:rFonts w:hint="eastAsia" w:ascii="仿宋_GB2312" w:hAnsi="宋体" w:eastAsia="仿宋_GB2312" w:cs="宋体"/>
          <w:color w:val="000000"/>
          <w:kern w:val="0"/>
          <w:sz w:val="32"/>
        </w:rPr>
        <w:t>包括</w:t>
      </w:r>
      <w:r>
        <w:rPr>
          <w:rFonts w:ascii="仿宋_GB2312" w:hAnsi="宋体" w:eastAsia="仿宋_GB2312" w:cs="宋体"/>
          <w:color w:val="000000"/>
          <w:kern w:val="0"/>
          <w:sz w:val="32"/>
        </w:rPr>
        <w:t>南江县</w:t>
      </w:r>
      <w:r>
        <w:rPr>
          <w:rFonts w:hint="eastAsia" w:ascii="仿宋_GB2312" w:hAnsi="宋体" w:eastAsia="仿宋_GB2312" w:cs="宋体"/>
          <w:color w:val="000000"/>
          <w:kern w:val="0"/>
          <w:sz w:val="32"/>
        </w:rPr>
        <w:t>医疗保障</w:t>
      </w:r>
      <w:r>
        <w:rPr>
          <w:rFonts w:ascii="仿宋_GB2312" w:hAnsi="宋体" w:eastAsia="仿宋_GB2312" w:cs="宋体"/>
          <w:color w:val="000000"/>
          <w:kern w:val="0"/>
          <w:sz w:val="32"/>
        </w:rPr>
        <w:t>局</w:t>
      </w:r>
      <w:r>
        <w:rPr>
          <w:rFonts w:hint="eastAsia" w:ascii="仿宋_GB2312" w:hAnsi="宋体" w:eastAsia="仿宋_GB2312" w:cs="宋体"/>
          <w:color w:val="000000"/>
          <w:kern w:val="0"/>
          <w:sz w:val="32"/>
        </w:rPr>
        <w:t>机关、南江县医疗保险信息中心、南江县城乡居民医疗保险服务中心三个单位(合署办公)。按照巴委办自〔2019〕7号和南机改〔2019〕2号文件规定局机关机构改革后内设机构调整为办公室（信访安全股）、财务股、待遇保障股、医药服务管理股（医药价格与招标采购股）、基金监管股和医疗监管股。</w:t>
      </w:r>
    </w:p>
    <w:p>
      <w:pPr>
        <w:spacing w:line="560" w:lineRule="exact"/>
        <w:ind w:firstLine="640" w:firstLineChars="200"/>
        <w:rPr>
          <w:rFonts w:eastAsia="方正仿宋简体"/>
          <w:sz w:val="32"/>
          <w:szCs w:val="32"/>
        </w:rPr>
      </w:pPr>
      <w:r>
        <w:rPr>
          <w:rFonts w:ascii="楷体" w:hAnsi="楷体" w:eastAsia="楷体" w:cs="楷体"/>
          <w:color w:val="000000"/>
          <w:kern w:val="0"/>
          <w:sz w:val="32"/>
          <w:szCs w:val="32"/>
          <w:shd w:val="clear" w:color="auto" w:fill="FFFFFF"/>
          <w:lang w:val="zh-CN"/>
        </w:rPr>
        <w:t>（二）机构职能。</w:t>
      </w:r>
      <w:r>
        <w:rPr>
          <w:rFonts w:ascii="仿宋_GB2312" w:hAnsi="宋体" w:eastAsia="仿宋_GB2312" w:cs="宋体"/>
          <w:color w:val="000000"/>
          <w:kern w:val="0"/>
          <w:sz w:val="32"/>
        </w:rPr>
        <w:t>根据</w:t>
      </w:r>
      <w:r>
        <w:rPr>
          <w:rFonts w:hint="eastAsia" w:ascii="仿宋_GB2312" w:hAnsi="宋体" w:eastAsia="仿宋_GB2312" w:cs="宋体"/>
          <w:color w:val="000000"/>
          <w:kern w:val="0"/>
          <w:sz w:val="32"/>
        </w:rPr>
        <w:t>《</w:t>
      </w:r>
      <w:r>
        <w:rPr>
          <w:rFonts w:ascii="仿宋_GB2312" w:hAnsi="宋体" w:eastAsia="仿宋_GB2312" w:cs="宋体"/>
          <w:color w:val="000000"/>
          <w:kern w:val="0"/>
          <w:sz w:val="32"/>
        </w:rPr>
        <w:t>南江县机构改革方案</w:t>
      </w:r>
      <w:r>
        <w:rPr>
          <w:rFonts w:hint="eastAsia" w:ascii="仿宋_GB2312" w:hAnsi="宋体" w:eastAsia="仿宋_GB2312" w:cs="宋体"/>
          <w:color w:val="000000"/>
          <w:kern w:val="0"/>
          <w:sz w:val="32"/>
        </w:rPr>
        <w:t>》</w:t>
      </w:r>
      <w:r>
        <w:rPr>
          <w:rFonts w:ascii="仿宋_GB2312" w:hAnsi="宋体" w:eastAsia="仿宋_GB2312" w:cs="宋体"/>
          <w:color w:val="000000"/>
          <w:kern w:val="0"/>
          <w:sz w:val="32"/>
        </w:rPr>
        <w:t>（南委发〔2019〕4号）和</w:t>
      </w:r>
      <w:r>
        <w:rPr>
          <w:rFonts w:hint="eastAsia" w:ascii="仿宋_GB2312" w:hAnsi="宋体" w:eastAsia="仿宋_GB2312" w:cs="宋体"/>
          <w:color w:val="000000"/>
          <w:kern w:val="0"/>
          <w:sz w:val="32"/>
        </w:rPr>
        <w:t>《</w:t>
      </w:r>
      <w:r>
        <w:rPr>
          <w:rFonts w:ascii="仿宋_GB2312" w:hAnsi="宋体" w:eastAsia="仿宋_GB2312" w:cs="宋体"/>
          <w:color w:val="000000"/>
          <w:kern w:val="0"/>
          <w:sz w:val="32"/>
        </w:rPr>
        <w:t>南江县医疗保障局职能配置、内设股室机构和人员编制</w:t>
      </w:r>
      <w:r>
        <w:rPr>
          <w:rFonts w:hint="eastAsia" w:ascii="仿宋_GB2312" w:hAnsi="宋体" w:eastAsia="仿宋_GB2312" w:cs="宋体"/>
          <w:color w:val="000000"/>
          <w:kern w:val="0"/>
          <w:sz w:val="32"/>
        </w:rPr>
        <w:t>》</w:t>
      </w:r>
      <w:r>
        <w:rPr>
          <w:rFonts w:ascii="仿宋_GB2312" w:hAnsi="宋体" w:eastAsia="仿宋_GB2312" w:cs="宋体"/>
          <w:color w:val="000000"/>
          <w:kern w:val="0"/>
          <w:sz w:val="32"/>
        </w:rPr>
        <w:t xml:space="preserve">（南委办〔2019〕61号）文件规定，本部门主要职责是： </w:t>
      </w:r>
    </w:p>
    <w:p>
      <w:pPr>
        <w:pStyle w:val="2"/>
        <w:spacing w:beforeLines="0" w:line="560" w:lineRule="exact"/>
        <w:ind w:firstLine="640" w:firstLineChars="200"/>
        <w:rPr>
          <w:rFonts w:hAnsi="宋体" w:cs="宋体"/>
          <w:color w:val="000000"/>
          <w:sz w:val="32"/>
        </w:rPr>
      </w:pPr>
      <w:r>
        <w:rPr>
          <w:rFonts w:hAnsi="宋体" w:cs="宋体"/>
          <w:color w:val="000000"/>
          <w:sz w:val="32"/>
        </w:rPr>
        <w:t>（1）组织实施医疗保险、生育保险、医疗救助、大病保险、长期护理保险等医疗保障制度，拟订全县医疗保障事业发展规划、政策和标准，并组织实施和监督检查。</w:t>
      </w:r>
    </w:p>
    <w:p>
      <w:pPr>
        <w:pStyle w:val="2"/>
        <w:spacing w:beforeLines="0" w:line="560" w:lineRule="exact"/>
        <w:ind w:firstLine="640" w:firstLineChars="200"/>
        <w:rPr>
          <w:rFonts w:hAnsi="宋体" w:cs="宋体"/>
          <w:color w:val="000000"/>
          <w:sz w:val="32"/>
        </w:rPr>
      </w:pPr>
      <w:r>
        <w:rPr>
          <w:rFonts w:hAnsi="宋体" w:cs="宋体"/>
          <w:color w:val="000000"/>
          <w:sz w:val="32"/>
        </w:rPr>
        <w:t>（2）组织拟订并实施医疗保障基金监督管理制度，建立健全医疗保障基金安全防控机制，保障全县医疗保障基金稳健运行。</w:t>
      </w:r>
    </w:p>
    <w:p>
      <w:pPr>
        <w:pStyle w:val="2"/>
        <w:spacing w:beforeLines="0" w:line="560" w:lineRule="exact"/>
        <w:ind w:firstLine="640" w:firstLineChars="200"/>
        <w:rPr>
          <w:rFonts w:hAnsi="宋体" w:cs="宋体"/>
          <w:color w:val="000000"/>
          <w:sz w:val="32"/>
        </w:rPr>
      </w:pPr>
      <w:r>
        <w:rPr>
          <w:rFonts w:hAnsi="宋体" w:cs="宋体"/>
          <w:color w:val="000000"/>
          <w:sz w:val="32"/>
        </w:rPr>
        <w:t>（3）组织拟订医疗保障筹资和待遇政策，建立健全与筹资水平相适应的待遇调整机制。组织建立并实施长期护理保险制度改革。</w:t>
      </w:r>
    </w:p>
    <w:p>
      <w:pPr>
        <w:pStyle w:val="2"/>
        <w:spacing w:beforeLines="0" w:line="560" w:lineRule="exact"/>
        <w:ind w:firstLine="640" w:firstLineChars="200"/>
        <w:rPr>
          <w:rFonts w:hAnsi="宋体" w:cs="宋体"/>
          <w:color w:val="000000"/>
          <w:sz w:val="32"/>
        </w:rPr>
      </w:pPr>
      <w:r>
        <w:rPr>
          <w:rFonts w:hAnsi="宋体" w:cs="宋体"/>
          <w:color w:val="000000"/>
          <w:sz w:val="32"/>
        </w:rPr>
        <w:t>（4）监督管理和执行药品、医用耗材、医疗服务项目、医疗服务设施等医疗保障目录和支付标准。</w:t>
      </w:r>
    </w:p>
    <w:p>
      <w:pPr>
        <w:pStyle w:val="2"/>
        <w:spacing w:beforeLines="0" w:line="560" w:lineRule="exact"/>
        <w:ind w:firstLine="640" w:firstLineChars="200"/>
        <w:rPr>
          <w:rFonts w:hAnsi="宋体" w:cs="宋体"/>
          <w:color w:val="000000"/>
          <w:sz w:val="32"/>
        </w:rPr>
      </w:pPr>
      <w:r>
        <w:rPr>
          <w:rFonts w:hAnsi="宋体" w:cs="宋体"/>
          <w:color w:val="000000"/>
          <w:sz w:val="32"/>
        </w:rPr>
        <w:t>（5）承担药品、医用耗材价格和医疗服务项目、医疗服务设施收费等政策的贯彻执行，建立医保支付医药服务价格动态调整机制，推动建立市场主导的社会医药服务价格形成机制，建立价格信息监测和信息发布制度。</w:t>
      </w:r>
    </w:p>
    <w:p>
      <w:pPr>
        <w:pStyle w:val="2"/>
        <w:spacing w:beforeLines="0" w:line="560" w:lineRule="exact"/>
        <w:ind w:firstLine="640" w:firstLineChars="200"/>
        <w:rPr>
          <w:rFonts w:hAnsi="宋体" w:cs="宋体"/>
          <w:color w:val="000000"/>
          <w:sz w:val="32"/>
        </w:rPr>
      </w:pPr>
      <w:r>
        <w:rPr>
          <w:rFonts w:hAnsi="宋体" w:cs="宋体"/>
          <w:color w:val="000000"/>
          <w:sz w:val="32"/>
        </w:rPr>
        <w:t>（6）监督实施全县药品、医用耗材的招标采购政策。</w:t>
      </w:r>
    </w:p>
    <w:p>
      <w:pPr>
        <w:pStyle w:val="2"/>
        <w:spacing w:beforeLines="0" w:line="560" w:lineRule="exact"/>
        <w:ind w:firstLine="640" w:firstLineChars="200"/>
        <w:rPr>
          <w:rFonts w:hAnsi="宋体" w:cs="宋体"/>
          <w:color w:val="000000"/>
          <w:sz w:val="32"/>
        </w:rPr>
      </w:pPr>
      <w:r>
        <w:rPr>
          <w:rFonts w:hAnsi="宋体" w:cs="宋体"/>
          <w:color w:val="000000"/>
          <w:sz w:val="32"/>
        </w:rPr>
        <w:t>（7）拟订全县定点医药机构协议和支付管理办法并组织实施，推进医疗保障基金支付方式改革，监督管理全县医疗保障定点医药机构。建立健全医疗保障信用评价体系和信息披露制度，监督管理定点医药机构医疗服务行为和医疗费用，依法查处医疗保障领域违法违规行为。</w:t>
      </w:r>
    </w:p>
    <w:p>
      <w:pPr>
        <w:pStyle w:val="2"/>
        <w:spacing w:beforeLines="0" w:line="560" w:lineRule="exact"/>
        <w:ind w:firstLine="640" w:firstLineChars="200"/>
        <w:rPr>
          <w:rFonts w:hAnsi="宋体" w:cs="宋体"/>
          <w:color w:val="000000"/>
          <w:sz w:val="32"/>
        </w:rPr>
      </w:pPr>
      <w:r>
        <w:rPr>
          <w:rFonts w:hAnsi="宋体" w:cs="宋体"/>
          <w:color w:val="000000"/>
          <w:sz w:val="32"/>
        </w:rPr>
        <w:t>（8）负责全县医疗保障经办管理和有关服务。组织实施异地就医管理和费用结算。执行医疗保障关系转移接续制度。承担全县医保经办服务管理。开展医疗保障领域对外合作交流。</w:t>
      </w:r>
    </w:p>
    <w:p>
      <w:pPr>
        <w:pStyle w:val="2"/>
        <w:spacing w:beforeLines="0" w:line="560" w:lineRule="exact"/>
        <w:ind w:firstLine="640" w:firstLineChars="200"/>
        <w:rPr>
          <w:rFonts w:hAnsi="宋体" w:cs="宋体"/>
          <w:color w:val="000000"/>
          <w:sz w:val="32"/>
        </w:rPr>
      </w:pPr>
      <w:r>
        <w:rPr>
          <w:rFonts w:hAnsi="宋体" w:cs="宋体"/>
          <w:color w:val="000000"/>
          <w:sz w:val="32"/>
        </w:rPr>
        <w:t>（9）负责规划并实施全县医疗保障信息化建设。组织开展医疗保障大数据管理和应用。</w:t>
      </w:r>
    </w:p>
    <w:p>
      <w:pPr>
        <w:pStyle w:val="2"/>
        <w:spacing w:beforeLines="0" w:line="560" w:lineRule="exact"/>
        <w:ind w:firstLine="640" w:firstLineChars="200"/>
        <w:rPr>
          <w:rFonts w:hAnsi="宋体" w:cs="宋体"/>
          <w:color w:val="000000"/>
          <w:sz w:val="32"/>
        </w:rPr>
      </w:pPr>
      <w:r>
        <w:rPr>
          <w:rFonts w:hAnsi="宋体" w:cs="宋体"/>
          <w:color w:val="000000"/>
          <w:sz w:val="32"/>
        </w:rPr>
        <w:t>（10）完成县委县政府交办的其他任务。</w:t>
      </w:r>
    </w:p>
    <w:p>
      <w:pPr>
        <w:pStyle w:val="2"/>
        <w:spacing w:beforeLines="0" w:line="560" w:lineRule="exact"/>
        <w:ind w:firstLine="640" w:firstLineChars="200"/>
        <w:rPr>
          <w:rFonts w:hAnsi="宋体" w:cs="宋体"/>
          <w:color w:val="000000"/>
          <w:sz w:val="32"/>
        </w:rPr>
      </w:pPr>
      <w:r>
        <w:rPr>
          <w:rFonts w:hAnsi="宋体" w:cs="宋体"/>
          <w:color w:val="000000"/>
          <w:sz w:val="32"/>
        </w:rPr>
        <w:t>（11）职能转变。完善统一的城乡居民基本医疗保险和大病保险制度，不断提高医疗保障水平，建立健全覆盖全民、城乡统筹的多层次医疗保障体系，确保医疗保障基金合理使用、安全可控，推进医疗、医保、医药“三医联动”改革，更好地保障人民群众就医需求、减轻医药费用负担。</w:t>
      </w:r>
    </w:p>
    <w:p>
      <w:pPr>
        <w:pStyle w:val="2"/>
        <w:spacing w:beforeLines="0" w:line="560" w:lineRule="exact"/>
        <w:ind w:firstLine="640" w:firstLineChars="200"/>
        <w:rPr>
          <w:rFonts w:hAnsi="宋体" w:cs="宋体"/>
          <w:color w:val="000000"/>
          <w:sz w:val="32"/>
        </w:rPr>
      </w:pPr>
      <w:r>
        <w:rPr>
          <w:rFonts w:hAnsi="宋体" w:cs="宋体"/>
          <w:color w:val="000000"/>
          <w:sz w:val="32"/>
        </w:rPr>
        <w:t>（12）与县卫生健康局的有关职责分工。两部门在医疗、医保、医药等方面加强制度、政策衔接，建立沟通协商机制，协同推进改革，提高医疗资源使用效率和医疗保障水平。</w:t>
      </w:r>
    </w:p>
    <w:p>
      <w:pPr>
        <w:spacing w:line="560" w:lineRule="exact"/>
        <w:ind w:firstLine="640" w:firstLineChars="200"/>
        <w:rPr>
          <w:rFonts w:ascii="楷体" w:hAnsi="楷体" w:eastAsia="楷体" w:cs="楷体"/>
          <w:color w:val="000000"/>
          <w:kern w:val="0"/>
          <w:sz w:val="32"/>
          <w:szCs w:val="32"/>
          <w:shd w:val="clear" w:color="auto" w:fill="FFFFFF"/>
          <w:lang w:val="zh-CN"/>
        </w:rPr>
      </w:pPr>
      <w:r>
        <w:rPr>
          <w:rFonts w:hint="eastAsia" w:ascii="楷体" w:hAnsi="楷体" w:eastAsia="楷体" w:cs="楷体"/>
          <w:color w:val="000000"/>
          <w:kern w:val="0"/>
          <w:sz w:val="32"/>
          <w:szCs w:val="32"/>
          <w:shd w:val="clear" w:color="auto" w:fill="FFFFFF"/>
          <w:lang w:val="zh-CN"/>
        </w:rPr>
        <w:t>（三）人员概况</w:t>
      </w:r>
    </w:p>
    <w:p>
      <w:pPr>
        <w:pStyle w:val="2"/>
        <w:spacing w:beforeLines="0" w:line="560" w:lineRule="exact"/>
        <w:ind w:firstLine="640" w:firstLineChars="200"/>
        <w:rPr>
          <w:rFonts w:hAnsi="宋体" w:cs="宋体"/>
          <w:sz w:val="32"/>
        </w:rPr>
      </w:pPr>
      <w:r>
        <w:rPr>
          <w:rFonts w:hAnsi="宋体" w:cs="宋体"/>
          <w:sz w:val="32"/>
        </w:rPr>
        <w:t>南江县</w:t>
      </w:r>
      <w:r>
        <w:rPr>
          <w:rFonts w:hint="eastAsia" w:hAnsi="宋体" w:cs="宋体"/>
          <w:sz w:val="32"/>
        </w:rPr>
        <w:t>医疗</w:t>
      </w:r>
      <w:r>
        <w:rPr>
          <w:rFonts w:hAnsi="宋体" w:cs="宋体"/>
          <w:sz w:val="32"/>
        </w:rPr>
        <w:t>保障局本级：</w:t>
      </w:r>
      <w:r>
        <w:rPr>
          <w:rFonts w:hint="eastAsia" w:hAnsi="宋体" w:cs="宋体"/>
          <w:sz w:val="32"/>
        </w:rPr>
        <w:t>行政编制6</w:t>
      </w:r>
      <w:r>
        <w:rPr>
          <w:rFonts w:hAnsi="宋体" w:cs="宋体"/>
          <w:sz w:val="32"/>
        </w:rPr>
        <w:t>人。</w:t>
      </w:r>
    </w:p>
    <w:p>
      <w:pPr>
        <w:pStyle w:val="2"/>
        <w:spacing w:beforeLines="0" w:line="560" w:lineRule="exact"/>
        <w:ind w:firstLine="640" w:firstLineChars="200"/>
        <w:rPr>
          <w:rFonts w:hAnsi="宋体" w:cs="宋体"/>
          <w:sz w:val="32"/>
        </w:rPr>
      </w:pPr>
      <w:r>
        <w:rPr>
          <w:rFonts w:hint="eastAsia" w:hAnsi="宋体" w:cs="宋体"/>
          <w:sz w:val="32"/>
        </w:rPr>
        <w:t>南江县医疗保险信息中心：参公编制23人。</w:t>
      </w:r>
    </w:p>
    <w:p>
      <w:pPr>
        <w:pStyle w:val="2"/>
        <w:spacing w:beforeLines="0" w:line="560" w:lineRule="exact"/>
        <w:ind w:firstLine="640" w:firstLineChars="200"/>
        <w:rPr>
          <w:rFonts w:hAnsi="宋体" w:cs="宋体"/>
          <w:sz w:val="32"/>
        </w:rPr>
      </w:pPr>
      <w:r>
        <w:rPr>
          <w:rFonts w:hint="eastAsia" w:hAnsi="宋体" w:cs="宋体"/>
          <w:sz w:val="32"/>
        </w:rPr>
        <w:t>南江县城乡居民医疗保险服务中心：财政全额供给事业编制3人。</w:t>
      </w:r>
    </w:p>
    <w:p>
      <w:pPr>
        <w:pStyle w:val="2"/>
        <w:spacing w:beforeLines="0" w:line="560" w:lineRule="exact"/>
        <w:ind w:firstLine="640" w:firstLineChars="200"/>
        <w:rPr>
          <w:rFonts w:hint="eastAsia" w:hAnsi="宋体" w:cs="宋体"/>
          <w:sz w:val="32"/>
        </w:rPr>
      </w:pPr>
      <w:r>
        <w:rPr>
          <w:rFonts w:hint="eastAsia" w:hAnsi="宋体" w:cs="宋体"/>
          <w:sz w:val="32"/>
        </w:rPr>
        <w:t>年末实有在职人数32人，退休4人。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楷体" w:hAnsi="楷体" w:eastAsia="楷体" w:cs="楷体"/>
          <w:color w:val="000000"/>
          <w:kern w:val="0"/>
          <w:sz w:val="32"/>
          <w:szCs w:val="32"/>
          <w:shd w:val="clear" w:color="auto" w:fill="FFFFFF"/>
          <w:lang w:val="zh-CN"/>
        </w:rPr>
      </w:pPr>
      <w:r>
        <w:rPr>
          <w:rFonts w:hint="eastAsia" w:hAnsi="宋体" w:cs="宋体"/>
          <w:sz w:val="32"/>
          <w:lang w:eastAsia="zh-CN"/>
        </w:rPr>
        <w:t>（四）</w:t>
      </w:r>
      <w:r>
        <w:rPr>
          <w:rFonts w:hint="eastAsia" w:ascii="楷体" w:hAnsi="楷体" w:eastAsia="楷体" w:cs="楷体"/>
          <w:color w:val="000000"/>
          <w:kern w:val="0"/>
          <w:sz w:val="32"/>
          <w:szCs w:val="32"/>
          <w:shd w:val="clear" w:color="auto" w:fill="FFFFFF"/>
          <w:lang w:val="zh-CN"/>
        </w:rPr>
        <w:t>年度主要工作任务。</w:t>
      </w:r>
    </w:p>
    <w:p>
      <w:pPr>
        <w:spacing w:line="560" w:lineRule="exact"/>
        <w:ind w:firstLine="640" w:firstLineChars="200"/>
        <w:rPr>
          <w:rFonts w:hint="eastAsia" w:ascii="仿宋_GB2312" w:hAnsi="宋体" w:eastAsia="仿宋_GB2312" w:cs="宋体"/>
          <w:kern w:val="0"/>
          <w:sz w:val="32"/>
          <w:szCs w:val="24"/>
          <w:lang w:val="zh-CN" w:eastAsia="zh-CN" w:bidi="ar-SA"/>
        </w:rPr>
      </w:pPr>
      <w:r>
        <w:rPr>
          <w:rFonts w:hint="eastAsia" w:ascii="仿宋_GB2312" w:hAnsi="宋体" w:eastAsia="仿宋_GB2312" w:cs="宋体"/>
          <w:kern w:val="0"/>
          <w:sz w:val="32"/>
          <w:szCs w:val="24"/>
          <w:lang w:val="en-US" w:eastAsia="zh-CN" w:bidi="ar-SA"/>
        </w:rPr>
        <w:t>（1）抓主业、促民生，显著提升医疗保障水平；</w:t>
      </w:r>
    </w:p>
    <w:p>
      <w:pPr>
        <w:spacing w:line="560" w:lineRule="exact"/>
        <w:ind w:firstLine="640" w:firstLineChars="200"/>
        <w:jc w:val="left"/>
        <w:rPr>
          <w:rFonts w:hint="eastAsia" w:ascii="仿宋_GB2312" w:hAnsi="宋体" w:eastAsia="仿宋_GB2312" w:cs="宋体"/>
          <w:kern w:val="0"/>
          <w:sz w:val="32"/>
          <w:szCs w:val="24"/>
          <w:lang w:val="zh-CN" w:eastAsia="zh-CN" w:bidi="ar-SA"/>
        </w:rPr>
      </w:pPr>
      <w:r>
        <w:rPr>
          <w:rFonts w:hint="eastAsia" w:ascii="仿宋_GB2312" w:hAnsi="宋体" w:eastAsia="仿宋_GB2312" w:cs="宋体"/>
          <w:kern w:val="0"/>
          <w:sz w:val="32"/>
          <w:szCs w:val="24"/>
          <w:lang w:val="en-US" w:eastAsia="zh-CN" w:bidi="ar-SA"/>
        </w:rPr>
        <w:t>（2）抓监管、严打击，科学高效使用医保基金；</w:t>
      </w:r>
    </w:p>
    <w:p>
      <w:pPr>
        <w:spacing w:line="560" w:lineRule="exact"/>
        <w:ind w:firstLine="640" w:firstLineChars="200"/>
        <w:jc w:val="left"/>
        <w:rPr>
          <w:rFonts w:hint="eastAsia" w:ascii="仿宋_GB2312" w:hAnsi="宋体" w:eastAsia="仿宋_GB2312" w:cs="宋体"/>
          <w:kern w:val="0"/>
          <w:sz w:val="32"/>
          <w:szCs w:val="24"/>
          <w:lang w:val="en-US" w:eastAsia="zh-CN" w:bidi="ar-SA"/>
        </w:rPr>
      </w:pPr>
      <w:r>
        <w:rPr>
          <w:rFonts w:hint="eastAsia" w:ascii="仿宋_GB2312" w:hAnsi="宋体" w:eastAsia="仿宋_GB2312" w:cs="宋体"/>
          <w:kern w:val="0"/>
          <w:sz w:val="32"/>
          <w:szCs w:val="24"/>
          <w:lang w:val="en-US" w:eastAsia="zh-CN" w:bidi="ar-SA"/>
        </w:rPr>
        <w:t>（3）抓作风、提效能，医保服务能力优质高效；</w:t>
      </w:r>
    </w:p>
    <w:p>
      <w:pPr>
        <w:pStyle w:val="13"/>
        <w:spacing w:line="560" w:lineRule="exact"/>
        <w:ind w:left="0" w:leftChars="0" w:firstLine="643"/>
        <w:rPr>
          <w:rFonts w:hint="eastAsia" w:ascii="仿宋_GB2312" w:hAnsi="宋体" w:eastAsia="仿宋_GB2312" w:cs="宋体"/>
          <w:kern w:val="0"/>
          <w:sz w:val="32"/>
          <w:szCs w:val="24"/>
          <w:lang w:val="en-US" w:eastAsia="zh-CN" w:bidi="ar-SA"/>
        </w:rPr>
      </w:pPr>
      <w:r>
        <w:rPr>
          <w:rFonts w:hint="eastAsia" w:ascii="仿宋_GB2312" w:hAnsi="宋体" w:eastAsia="仿宋_GB2312" w:cs="宋体"/>
          <w:kern w:val="0"/>
          <w:sz w:val="32"/>
          <w:szCs w:val="24"/>
          <w:lang w:val="en-US" w:eastAsia="zh-CN" w:bidi="ar-SA"/>
        </w:rPr>
        <w:t>（4）抓党建、强队伍，思想政治建设全面提高。</w:t>
      </w:r>
    </w:p>
    <w:p>
      <w:pPr>
        <w:pStyle w:val="13"/>
        <w:spacing w:line="560" w:lineRule="exact"/>
        <w:ind w:left="0" w:leftChars="0" w:firstLine="643"/>
        <w:rPr>
          <w:rFonts w:hint="eastAsia" w:ascii="Times New Roman" w:hAnsi="宋体" w:eastAsia="宋体" w:cs="宋体"/>
          <w:sz w:val="32"/>
          <w:lang w:val="zh-CN" w:eastAsia="zh-CN"/>
        </w:rPr>
      </w:pPr>
      <w:r>
        <w:rPr>
          <w:rFonts w:hint="eastAsia" w:ascii="Times New Roman" w:hAnsi="宋体" w:eastAsia="宋体" w:cs="宋体"/>
          <w:sz w:val="32"/>
          <w:lang w:eastAsia="zh-CN"/>
        </w:rPr>
        <w:t>（五）</w:t>
      </w:r>
      <w:r>
        <w:rPr>
          <w:rFonts w:hint="eastAsia" w:ascii="Times New Roman" w:hAnsi="宋体" w:eastAsia="宋体" w:cs="宋体"/>
          <w:sz w:val="32"/>
          <w:lang w:val="zh-CN" w:eastAsia="zh-CN"/>
        </w:rPr>
        <w:t>部门整体支出绩效目标。</w:t>
      </w:r>
    </w:p>
    <w:p>
      <w:pPr>
        <w:pageBreakBefore w:val="0"/>
        <w:kinsoku/>
        <w:wordWrap/>
        <w:overflowPunct/>
        <w:topLinePunct w:val="0"/>
        <w:bidi w:val="0"/>
        <w:spacing w:line="560" w:lineRule="exact"/>
        <w:ind w:firstLine="640" w:firstLineChars="200"/>
        <w:rPr>
          <w:rFonts w:hint="eastAsia" w:ascii="仿宋_GB2312" w:hAnsi="宋体" w:eastAsia="仿宋_GB2312" w:cs="宋体"/>
          <w:color w:val="000000"/>
          <w:kern w:val="0"/>
          <w:sz w:val="32"/>
          <w:szCs w:val="24"/>
          <w:lang w:val="zh-CN" w:eastAsia="zh-CN" w:bidi="ar-SA"/>
        </w:rPr>
      </w:pPr>
      <w:r>
        <w:rPr>
          <w:rFonts w:hint="eastAsia" w:ascii="仿宋_GB2312" w:hAnsi="宋体" w:eastAsia="仿宋_GB2312" w:cs="宋体"/>
          <w:color w:val="000000"/>
          <w:kern w:val="0"/>
          <w:sz w:val="32"/>
          <w:szCs w:val="24"/>
          <w:lang w:val="zh-CN" w:eastAsia="zh-CN" w:bidi="ar-SA"/>
        </w:rPr>
        <w:t>（</w:t>
      </w:r>
      <w:r>
        <w:rPr>
          <w:rFonts w:hint="eastAsia" w:ascii="仿宋_GB2312" w:hAnsi="宋体" w:eastAsia="仿宋_GB2312" w:cs="宋体"/>
          <w:color w:val="000000"/>
          <w:kern w:val="0"/>
          <w:sz w:val="32"/>
          <w:szCs w:val="24"/>
          <w:lang w:val="en-US" w:eastAsia="zh-CN" w:bidi="ar-SA"/>
        </w:rPr>
        <w:t>1</w:t>
      </w:r>
      <w:r>
        <w:rPr>
          <w:rFonts w:hint="eastAsia" w:ascii="仿宋_GB2312" w:hAnsi="宋体" w:eastAsia="仿宋_GB2312" w:cs="宋体"/>
          <w:color w:val="000000"/>
          <w:kern w:val="0"/>
          <w:sz w:val="32"/>
          <w:szCs w:val="24"/>
          <w:lang w:val="zh-CN" w:eastAsia="zh-CN" w:bidi="ar-SA"/>
        </w:rPr>
        <w:t>）主要内容。</w:t>
      </w:r>
      <w:r>
        <w:rPr>
          <w:rFonts w:hint="eastAsia" w:ascii="仿宋_GB2312" w:hAnsi="宋体" w:eastAsia="仿宋_GB2312" w:cs="宋体"/>
          <w:color w:val="000000"/>
          <w:kern w:val="0"/>
          <w:sz w:val="32"/>
          <w:szCs w:val="24"/>
          <w:lang w:val="en-US" w:eastAsia="zh-CN" w:bidi="ar-SA"/>
        </w:rPr>
        <w:t>高质量发展全县医疗保障事业。</w:t>
      </w:r>
    </w:p>
    <w:p>
      <w:pPr>
        <w:pageBreakBefore w:val="0"/>
        <w:kinsoku/>
        <w:wordWrap/>
        <w:overflowPunct/>
        <w:topLinePunct w:val="0"/>
        <w:bidi w:val="0"/>
        <w:spacing w:line="560" w:lineRule="exact"/>
        <w:ind w:firstLine="640" w:firstLineChars="200"/>
        <w:rPr>
          <w:rFonts w:hint="eastAsia" w:ascii="Times New Roman" w:hAnsi="宋体" w:eastAsia="宋体" w:cs="宋体"/>
          <w:sz w:val="32"/>
          <w:lang w:val="zh-CN" w:eastAsia="zh-CN"/>
        </w:rPr>
      </w:pPr>
      <w:r>
        <w:rPr>
          <w:rFonts w:hint="eastAsia" w:ascii="仿宋_GB2312" w:hAnsi="宋体" w:eastAsia="仿宋_GB2312" w:cs="宋体"/>
          <w:color w:val="000000"/>
          <w:kern w:val="0"/>
          <w:sz w:val="32"/>
          <w:szCs w:val="24"/>
          <w:lang w:val="zh-CN" w:eastAsia="zh-CN" w:bidi="ar-SA"/>
        </w:rPr>
        <w:t>（</w:t>
      </w:r>
      <w:r>
        <w:rPr>
          <w:rFonts w:hint="eastAsia" w:ascii="仿宋_GB2312" w:hAnsi="宋体" w:eastAsia="仿宋_GB2312" w:cs="宋体"/>
          <w:color w:val="000000"/>
          <w:kern w:val="0"/>
          <w:sz w:val="32"/>
          <w:szCs w:val="24"/>
          <w:lang w:val="en-US" w:eastAsia="zh-CN" w:bidi="ar-SA"/>
        </w:rPr>
        <w:t>2</w:t>
      </w:r>
      <w:r>
        <w:rPr>
          <w:rFonts w:hint="eastAsia" w:ascii="仿宋_GB2312" w:hAnsi="宋体" w:eastAsia="仿宋_GB2312" w:cs="宋体"/>
          <w:color w:val="000000"/>
          <w:kern w:val="0"/>
          <w:sz w:val="32"/>
          <w:szCs w:val="24"/>
          <w:lang w:val="zh-CN" w:eastAsia="zh-CN" w:bidi="ar-SA"/>
        </w:rPr>
        <w:t>）绩效目标。</w:t>
      </w:r>
      <w:r>
        <w:rPr>
          <w:rFonts w:hint="eastAsia" w:ascii="仿宋_GB2312" w:hAnsi="宋体" w:eastAsia="仿宋_GB2312" w:cs="宋体"/>
          <w:color w:val="000000"/>
          <w:kern w:val="0"/>
          <w:sz w:val="32"/>
          <w:szCs w:val="24"/>
          <w:lang w:val="en-US" w:eastAsia="zh-CN" w:bidi="ar-SA"/>
        </w:rPr>
        <w:t>①</w:t>
      </w:r>
      <w:r>
        <w:rPr>
          <w:rFonts w:hint="eastAsia" w:ascii="仿宋_GB2312" w:hAnsi="宋体" w:eastAsia="仿宋_GB2312" w:cs="宋体"/>
          <w:color w:val="000000"/>
          <w:kern w:val="0"/>
          <w:sz w:val="32"/>
          <w:szCs w:val="24"/>
          <w:lang w:val="zh-CN" w:eastAsia="zh-CN" w:bidi="ar-SA"/>
        </w:rPr>
        <w:t>加强对医疗保险基金的管理，强化打击欺诈骗保工作力度；持续推进医保支付方式改革；大力宣传医保政策，确保各项医保政策落到实处。</w:t>
      </w:r>
      <w:r>
        <w:rPr>
          <w:rFonts w:hint="eastAsia" w:ascii="仿宋_GB2312" w:hAnsi="宋体" w:eastAsia="仿宋_GB2312" w:cs="宋体"/>
          <w:color w:val="000000"/>
          <w:kern w:val="0"/>
          <w:sz w:val="32"/>
          <w:szCs w:val="24"/>
          <w:lang w:val="en-US" w:eastAsia="zh-CN" w:bidi="ar-SA"/>
        </w:rPr>
        <w:t>②</w:t>
      </w:r>
      <w:r>
        <w:rPr>
          <w:rFonts w:hint="eastAsia" w:ascii="仿宋_GB2312" w:hAnsi="宋体" w:eastAsia="仿宋_GB2312" w:cs="宋体"/>
          <w:color w:val="000000"/>
          <w:kern w:val="0"/>
          <w:sz w:val="32"/>
          <w:szCs w:val="24"/>
          <w:lang w:val="zh-CN" w:eastAsia="zh-CN" w:bidi="ar-SA"/>
        </w:rPr>
        <w:t>202</w:t>
      </w:r>
      <w:r>
        <w:rPr>
          <w:rFonts w:hint="eastAsia" w:ascii="仿宋_GB2312" w:hAnsi="宋体" w:eastAsia="仿宋_GB2312" w:cs="宋体"/>
          <w:color w:val="000000"/>
          <w:kern w:val="0"/>
          <w:sz w:val="32"/>
          <w:szCs w:val="24"/>
          <w:lang w:val="en-US" w:eastAsia="zh-CN" w:bidi="ar-SA"/>
        </w:rPr>
        <w:t>2</w:t>
      </w:r>
      <w:r>
        <w:rPr>
          <w:rFonts w:hint="eastAsia" w:ascii="仿宋_GB2312" w:hAnsi="宋体" w:eastAsia="仿宋_GB2312" w:cs="宋体"/>
          <w:color w:val="000000"/>
          <w:kern w:val="0"/>
          <w:sz w:val="32"/>
          <w:szCs w:val="24"/>
          <w:lang w:val="zh-CN" w:eastAsia="zh-CN" w:bidi="ar-SA"/>
        </w:rPr>
        <w:t>年全县基本医疗保险参保率显著提升，医疗待遇全面兑现，全力保障重点救助对象的医疗救助兜底，大大提升医疗保障服务能力。</w:t>
      </w:r>
    </w:p>
    <w:p>
      <w:pPr>
        <w:widowControl/>
        <w:adjustRightInd w:val="0"/>
        <w:snapToGrid w:val="0"/>
        <w:spacing w:line="580" w:lineRule="exact"/>
        <w:ind w:firstLine="640" w:firstLineChars="200"/>
        <w:contextualSpacing/>
        <w:jc w:val="left"/>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line="560" w:lineRule="exact"/>
        <w:ind w:firstLine="320" w:firstLineChars="100"/>
        <w:contextualSpacing/>
        <w:jc w:val="left"/>
        <w:textAlignment w:val="auto"/>
        <w:rPr>
          <w:rFonts w:hint="default" w:eastAsia="黑体"/>
          <w:lang w:val="en-US" w:eastAsia="zh-CN"/>
        </w:rPr>
      </w:pPr>
      <w:r>
        <w:rPr>
          <w:rFonts w:hint="eastAsia" w:ascii="黑体" w:hAnsi="黑体" w:eastAsia="黑体" w:cs="黑体"/>
          <w:color w:val="000000"/>
          <w:kern w:val="0"/>
          <w:sz w:val="32"/>
          <w:szCs w:val="32"/>
          <w:shd w:val="clear" w:color="auto" w:fill="FFFFFF"/>
          <w:lang w:val="en-US" w:eastAsia="zh-CN"/>
        </w:rPr>
        <w:t xml:space="preserve"> </w:t>
      </w:r>
      <w:r>
        <w:rPr>
          <w:rFonts w:hint="eastAsia" w:ascii="楷体_GB2312" w:hAnsi="楷体_GB2312" w:eastAsia="楷体_GB2312" w:cs="楷体_GB2312"/>
          <w:b/>
          <w:bCs/>
          <w:color w:val="auto"/>
          <w:kern w:val="0"/>
          <w:sz w:val="32"/>
          <w:szCs w:val="32"/>
          <w:highlight w:val="none"/>
          <w:shd w:val="clear" w:color="auto" w:fill="FFFFFF"/>
          <w:lang w:val="zh-CN"/>
        </w:rPr>
        <w:t>（一）部门总体收支情况。</w:t>
      </w:r>
    </w:p>
    <w:p>
      <w:pPr>
        <w:pStyle w:val="2"/>
        <w:spacing w:beforeLines="0" w:line="560" w:lineRule="exact"/>
        <w:ind w:firstLine="640" w:firstLineChars="200"/>
        <w:rPr>
          <w:rFonts w:hAnsi="宋体" w:cs="宋体"/>
          <w:sz w:val="32"/>
        </w:rPr>
      </w:pPr>
      <w:r>
        <w:rPr>
          <w:rFonts w:hint="eastAsia" w:ascii="楷体" w:hAnsi="楷体" w:eastAsia="楷体" w:cs="楷体"/>
          <w:sz w:val="32"/>
          <w:szCs w:val="32"/>
          <w:shd w:val="clear" w:color="auto" w:fill="FFFFFF"/>
          <w:lang w:val="en-US" w:eastAsia="zh-CN"/>
        </w:rPr>
        <w:t>1.</w:t>
      </w:r>
      <w:r>
        <w:rPr>
          <w:rFonts w:hint="eastAsia" w:ascii="楷体" w:hAnsi="楷体" w:eastAsia="楷体" w:cs="楷体"/>
          <w:sz w:val="32"/>
          <w:szCs w:val="32"/>
          <w:shd w:val="clear" w:color="auto" w:fill="FFFFFF"/>
          <w:lang w:val="zh-CN"/>
        </w:rPr>
        <w:t>部门总体收入情况</w:t>
      </w:r>
      <w:r>
        <w:rPr>
          <w:rFonts w:ascii="楷体" w:hAnsi="楷体" w:eastAsia="楷体" w:cs="楷体"/>
          <w:sz w:val="32"/>
          <w:szCs w:val="32"/>
          <w:shd w:val="clear" w:color="auto" w:fill="FFFFFF"/>
          <w:lang w:val="zh-CN"/>
        </w:rPr>
        <w:t>。</w:t>
      </w:r>
      <w:r>
        <w:rPr>
          <w:rFonts w:hAnsi="宋体" w:cs="宋体"/>
          <w:sz w:val="32"/>
        </w:rPr>
        <w:t>202</w:t>
      </w:r>
      <w:r>
        <w:rPr>
          <w:rFonts w:hint="eastAsia" w:hAnsi="宋体" w:cs="宋体"/>
          <w:sz w:val="32"/>
        </w:rPr>
        <w:t>2</w:t>
      </w:r>
      <w:r>
        <w:rPr>
          <w:rFonts w:hAnsi="宋体" w:cs="宋体"/>
          <w:sz w:val="32"/>
        </w:rPr>
        <w:t>年</w:t>
      </w:r>
      <w:r>
        <w:rPr>
          <w:rFonts w:hint="eastAsia" w:hAnsi="宋体" w:cs="宋体"/>
          <w:sz w:val="32"/>
          <w:lang w:eastAsia="zh-CN"/>
        </w:rPr>
        <w:t>总体</w:t>
      </w:r>
      <w:r>
        <w:rPr>
          <w:rFonts w:hAnsi="宋体" w:cs="宋体"/>
          <w:sz w:val="32"/>
        </w:rPr>
        <w:t>收入总计为</w:t>
      </w:r>
      <w:r>
        <w:rPr>
          <w:rFonts w:hint="eastAsia" w:hAnsi="宋体" w:cs="宋体"/>
          <w:sz w:val="32"/>
        </w:rPr>
        <w:t>527.58</w:t>
      </w:r>
      <w:r>
        <w:rPr>
          <w:rFonts w:hAnsi="宋体" w:cs="宋体"/>
          <w:sz w:val="32"/>
        </w:rPr>
        <w:t>万元，与</w:t>
      </w:r>
      <w:r>
        <w:rPr>
          <w:rFonts w:hint="eastAsia" w:hAnsi="宋体" w:cs="宋体"/>
          <w:sz w:val="32"/>
        </w:rPr>
        <w:t>2021</w:t>
      </w:r>
      <w:r>
        <w:rPr>
          <w:rFonts w:hAnsi="宋体" w:cs="宋体"/>
          <w:sz w:val="32"/>
        </w:rPr>
        <w:t>年</w:t>
      </w:r>
      <w:r>
        <w:rPr>
          <w:rFonts w:hint="eastAsia" w:hAnsi="宋体" w:cs="宋体"/>
          <w:sz w:val="32"/>
        </w:rPr>
        <w:t>506.79</w:t>
      </w:r>
      <w:r>
        <w:rPr>
          <w:rFonts w:hAnsi="宋体" w:cs="宋体"/>
          <w:sz w:val="32"/>
        </w:rPr>
        <w:t>万元相比</w:t>
      </w:r>
      <w:r>
        <w:rPr>
          <w:rFonts w:hint="eastAsia" w:hAnsi="宋体" w:cs="宋体"/>
          <w:sz w:val="32"/>
        </w:rPr>
        <w:t>增加20.79</w:t>
      </w:r>
      <w:r>
        <w:rPr>
          <w:rFonts w:hAnsi="宋体" w:cs="宋体"/>
          <w:sz w:val="32"/>
        </w:rPr>
        <w:t>万元，</w:t>
      </w:r>
      <w:r>
        <w:rPr>
          <w:rFonts w:hint="eastAsia" w:hAnsi="仿宋"/>
          <w:sz w:val="32"/>
          <w:szCs w:val="32"/>
        </w:rPr>
        <w:t>增加4.1%</w:t>
      </w:r>
      <w:r>
        <w:rPr>
          <w:rFonts w:hAnsi="宋体" w:cs="宋体"/>
          <w:sz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仿宋_GB2312" w:hAnsi="宋体" w:eastAsia="仿宋_GB2312" w:cs="宋体"/>
          <w:kern w:val="0"/>
          <w:sz w:val="32"/>
          <w:szCs w:val="24"/>
          <w:lang w:val="en-US" w:eastAsia="zh-CN" w:bidi="ar-SA"/>
        </w:rPr>
      </w:pPr>
      <w:r>
        <w:rPr>
          <w:rFonts w:hint="eastAsia" w:ascii="楷体" w:hAnsi="楷体" w:eastAsia="楷体" w:cs="楷体"/>
          <w:sz w:val="32"/>
          <w:szCs w:val="32"/>
          <w:shd w:val="clear" w:color="auto" w:fill="FFFFFF"/>
          <w:lang w:val="en-US" w:eastAsia="zh-CN"/>
        </w:rPr>
        <w:t>2.</w:t>
      </w:r>
      <w:r>
        <w:rPr>
          <w:rFonts w:hint="eastAsia" w:ascii="楷体" w:hAnsi="楷体" w:eastAsia="楷体" w:cs="楷体"/>
          <w:kern w:val="0"/>
          <w:sz w:val="32"/>
          <w:szCs w:val="32"/>
          <w:shd w:val="clear" w:color="auto" w:fill="FFFFFF"/>
          <w:lang w:val="en-US" w:eastAsia="zh-CN" w:bidi="ar-SA"/>
        </w:rPr>
        <w:t>部门总体支出情况</w:t>
      </w:r>
      <w:r>
        <w:rPr>
          <w:rFonts w:ascii="楷体" w:hAnsi="楷体" w:eastAsia="楷体" w:cs="楷体"/>
          <w:sz w:val="32"/>
          <w:szCs w:val="32"/>
          <w:shd w:val="clear" w:color="auto" w:fill="FFFFFF"/>
          <w:lang w:val="zh-CN"/>
        </w:rPr>
        <w:t>。</w:t>
      </w:r>
      <w:r>
        <w:rPr>
          <w:rFonts w:ascii="仿宋_GB2312" w:hAnsi="宋体" w:eastAsia="仿宋_GB2312" w:cs="宋体"/>
          <w:kern w:val="0"/>
          <w:sz w:val="32"/>
          <w:szCs w:val="24"/>
          <w:lang w:val="en-US" w:eastAsia="zh-CN" w:bidi="ar-SA"/>
        </w:rPr>
        <w:t>202</w:t>
      </w:r>
      <w:r>
        <w:rPr>
          <w:rFonts w:hint="eastAsia" w:ascii="仿宋_GB2312" w:hAnsi="宋体" w:eastAsia="仿宋_GB2312" w:cs="宋体"/>
          <w:kern w:val="0"/>
          <w:sz w:val="32"/>
          <w:szCs w:val="24"/>
          <w:lang w:val="en-US" w:eastAsia="zh-CN" w:bidi="ar-SA"/>
        </w:rPr>
        <w:t>2</w:t>
      </w:r>
      <w:r>
        <w:rPr>
          <w:rFonts w:ascii="仿宋_GB2312" w:hAnsi="宋体" w:eastAsia="仿宋_GB2312" w:cs="宋体"/>
          <w:kern w:val="0"/>
          <w:sz w:val="32"/>
          <w:szCs w:val="24"/>
          <w:lang w:val="en-US" w:eastAsia="zh-CN" w:bidi="ar-SA"/>
        </w:rPr>
        <w:t>年</w:t>
      </w:r>
      <w:r>
        <w:rPr>
          <w:rFonts w:hint="eastAsia" w:ascii="仿宋_GB2312" w:hAnsi="宋体" w:eastAsia="仿宋_GB2312" w:cs="宋体"/>
          <w:kern w:val="0"/>
          <w:sz w:val="32"/>
          <w:szCs w:val="24"/>
          <w:lang w:val="en-US" w:eastAsia="zh-CN" w:bidi="ar-SA"/>
        </w:rPr>
        <w:t>总体支出527.58万元</w:t>
      </w:r>
      <w:r>
        <w:rPr>
          <w:rFonts w:ascii="仿宋_GB2312" w:hAnsi="宋体" w:eastAsia="仿宋_GB2312" w:cs="宋体"/>
          <w:kern w:val="0"/>
          <w:sz w:val="32"/>
          <w:szCs w:val="24"/>
          <w:lang w:val="en-US" w:eastAsia="zh-CN" w:bidi="ar-SA"/>
        </w:rPr>
        <w:t>，</w:t>
      </w:r>
      <w:r>
        <w:rPr>
          <w:rFonts w:hint="eastAsia" w:ascii="仿宋_GB2312" w:hAnsi="宋体" w:eastAsia="仿宋_GB2312" w:cs="宋体"/>
          <w:kern w:val="0"/>
          <w:sz w:val="32"/>
          <w:szCs w:val="24"/>
          <w:lang w:val="en-US" w:eastAsia="zh-CN" w:bidi="ar-SA"/>
        </w:rPr>
        <w:t>其中基本支出497.11万元（其中人员经费支出441.54万元，日常公用经费支出55.57万元），项目支出30.48万元。</w:t>
      </w:r>
    </w:p>
    <w:p>
      <w:pPr>
        <w:keepNext w:val="0"/>
        <w:keepLines w:val="0"/>
        <w:pageBreakBefore w:val="0"/>
        <w:widowControl/>
        <w:numPr>
          <w:ilvl w:val="0"/>
          <w:numId w:val="5"/>
        </w:numPr>
        <w:kinsoku/>
        <w:wordWrap/>
        <w:overflowPunct/>
        <w:topLinePunct w:val="0"/>
        <w:autoSpaceDE/>
        <w:autoSpaceDN/>
        <w:bidi w:val="0"/>
        <w:adjustRightInd w:val="0"/>
        <w:snapToGrid w:val="0"/>
        <w:spacing w:line="560" w:lineRule="exact"/>
        <w:ind w:left="630" w:leftChars="0" w:firstLine="0" w:firstLineChars="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部门财政拨款收支情况。</w:t>
      </w:r>
    </w:p>
    <w:p>
      <w:pPr>
        <w:pStyle w:val="2"/>
        <w:spacing w:beforeLines="0" w:line="560" w:lineRule="exact"/>
        <w:ind w:firstLine="640" w:firstLineChars="200"/>
        <w:rPr>
          <w:rFonts w:hint="eastAsia" w:hAnsi="宋体" w:cs="宋体"/>
          <w:sz w:val="32"/>
          <w:lang w:val="en-US" w:eastAsia="zh-CN"/>
        </w:rPr>
      </w:pPr>
      <w:r>
        <w:rPr>
          <w:rFonts w:hint="eastAsia" w:ascii="楷体" w:hAnsi="楷体" w:eastAsia="楷体" w:cs="楷体"/>
          <w:sz w:val="32"/>
          <w:szCs w:val="32"/>
          <w:shd w:val="clear" w:color="auto" w:fill="FFFFFF"/>
          <w:lang w:val="en-US" w:eastAsia="zh-CN"/>
        </w:rPr>
        <w:t>1.</w:t>
      </w:r>
      <w:r>
        <w:rPr>
          <w:rFonts w:hint="eastAsia" w:ascii="楷体" w:hAnsi="楷体" w:eastAsia="楷体" w:cs="楷体"/>
          <w:kern w:val="0"/>
          <w:sz w:val="32"/>
          <w:szCs w:val="32"/>
          <w:shd w:val="clear" w:color="auto" w:fill="FFFFFF"/>
          <w:lang w:val="zh-CN" w:eastAsia="zh-CN" w:bidi="ar-SA"/>
        </w:rPr>
        <w:t>部门财政资金收入情况。</w:t>
      </w:r>
      <w:r>
        <w:rPr>
          <w:rFonts w:hint="eastAsia" w:hAnsi="宋体" w:cs="宋体"/>
          <w:sz w:val="32"/>
          <w:lang w:val="en-US" w:eastAsia="zh-CN"/>
        </w:rPr>
        <w:t>2022年财政拨款收入总计为527.58万元，与2021年506.79万元相比增加20.79万元，增加4.1%。</w:t>
      </w:r>
    </w:p>
    <w:p>
      <w:pPr>
        <w:pStyle w:val="2"/>
        <w:spacing w:beforeLines="0" w:line="560" w:lineRule="exact"/>
        <w:ind w:firstLine="640" w:firstLineChars="200"/>
        <w:rPr>
          <w:rFonts w:hint="eastAsia" w:hAnsi="宋体" w:cs="宋体"/>
          <w:sz w:val="32"/>
          <w:lang w:val="en-US" w:eastAsia="zh-CN"/>
        </w:rPr>
      </w:pPr>
      <w:r>
        <w:rPr>
          <w:rFonts w:hint="eastAsia" w:ascii="楷体" w:hAnsi="楷体" w:eastAsia="楷体" w:cs="楷体"/>
          <w:sz w:val="32"/>
          <w:szCs w:val="32"/>
          <w:shd w:val="clear" w:color="auto" w:fill="FFFFFF"/>
          <w:lang w:val="en-US" w:eastAsia="zh-CN"/>
        </w:rPr>
        <w:t>2.</w:t>
      </w:r>
      <w:r>
        <w:rPr>
          <w:rFonts w:hint="eastAsia" w:ascii="楷体" w:hAnsi="楷体" w:eastAsia="楷体" w:cs="楷体"/>
          <w:kern w:val="0"/>
          <w:sz w:val="32"/>
          <w:szCs w:val="32"/>
          <w:shd w:val="clear" w:color="auto" w:fill="FFFFFF"/>
          <w:lang w:val="zh-CN" w:eastAsia="zh-CN" w:bidi="ar-SA"/>
        </w:rPr>
        <w:t>部门财政资金支出情况。</w:t>
      </w:r>
      <w:r>
        <w:rPr>
          <w:rFonts w:hint="eastAsia" w:hAnsi="宋体" w:cs="宋体"/>
          <w:sz w:val="32"/>
          <w:lang w:val="en-US" w:eastAsia="zh-CN"/>
        </w:rPr>
        <w:t>2022年总支出527.58万元，其中基本支出497.11万元（其中人员经费支出441.54万元，日常公用经费支出55.57万元），项目支出30.48万元。</w:t>
      </w:r>
    </w:p>
    <w:p>
      <w:pPr>
        <w:pStyle w:val="2"/>
        <w:spacing w:beforeLines="0" w:line="560" w:lineRule="exact"/>
        <w:ind w:firstLine="640" w:firstLineChars="200"/>
        <w:rPr>
          <w:rFonts w:hint="default" w:hAnsi="宋体" w:cs="宋体"/>
          <w:sz w:val="32"/>
          <w:lang w:val="en-US" w:eastAsia="zh-CN"/>
        </w:rPr>
      </w:pPr>
      <w:r>
        <w:rPr>
          <w:rFonts w:hint="eastAsia" w:hAnsi="宋体" w:cs="宋体"/>
          <w:sz w:val="32"/>
          <w:lang w:val="en-US" w:eastAsia="zh-CN"/>
        </w:rPr>
        <w:t xml:space="preserve"> 按支出经济分类：工资福利支出437.68万元，占总支出的82.96%，商品和服务支出85.57万元，占总支出的16.22%，对个人和家庭的补助4.33万元，占总支出的0.82%。</w:t>
      </w:r>
    </w:p>
    <w:p>
      <w:pPr>
        <w:widowControl/>
        <w:numPr>
          <w:ilvl w:val="0"/>
          <w:numId w:val="0"/>
        </w:numPr>
        <w:adjustRightInd w:val="0"/>
        <w:snapToGrid w:val="0"/>
        <w:spacing w:line="580" w:lineRule="exact"/>
        <w:ind w:left="640" w:leftChars="0" w:firstLine="320" w:firstLineChars="100"/>
        <w:contextualSpacing/>
        <w:jc w:val="left"/>
        <w:rPr>
          <w:rFonts w:hint="eastAsia" w:ascii="黑体" w:hAnsi="宋体" w:eastAsia="黑体" w:cs="宋体"/>
          <w:color w:val="auto"/>
          <w:kern w:val="0"/>
          <w:sz w:val="32"/>
          <w:szCs w:val="32"/>
          <w:highlight w:val="none"/>
          <w:u w:val="none"/>
          <w:shd w:val="clear" w:color="auto" w:fill="FFFFFF"/>
          <w:lang w:eastAsia="zh-CN"/>
        </w:rPr>
      </w:pPr>
      <w:r>
        <w:rPr>
          <w:rFonts w:hint="eastAsia" w:ascii="黑体" w:hAnsi="宋体" w:eastAsia="黑体" w:cs="宋体"/>
          <w:color w:val="auto"/>
          <w:kern w:val="0"/>
          <w:sz w:val="32"/>
          <w:szCs w:val="32"/>
          <w:highlight w:val="none"/>
          <w:u w:val="none"/>
          <w:shd w:val="clear" w:color="auto" w:fill="FFFFFF"/>
          <w:lang w:eastAsia="zh-CN"/>
        </w:rPr>
        <w:t>三、</w:t>
      </w:r>
      <w:r>
        <w:rPr>
          <w:rFonts w:hint="eastAsia" w:ascii="黑体" w:hAnsi="宋体" w:eastAsia="黑体" w:cs="宋体"/>
          <w:color w:val="auto"/>
          <w:kern w:val="0"/>
          <w:sz w:val="32"/>
          <w:szCs w:val="32"/>
          <w:highlight w:val="none"/>
          <w:u w:val="none"/>
          <w:shd w:val="clear" w:color="auto" w:fill="FFFFFF"/>
        </w:rPr>
        <w:t>部门整体绩效</w:t>
      </w:r>
      <w:r>
        <w:rPr>
          <w:rFonts w:hint="eastAsia" w:ascii="黑体" w:hAnsi="宋体" w:eastAsia="黑体" w:cs="宋体"/>
          <w:color w:val="auto"/>
          <w:kern w:val="0"/>
          <w:sz w:val="32"/>
          <w:szCs w:val="32"/>
          <w:highlight w:val="none"/>
          <w:u w:val="none"/>
          <w:shd w:val="clear" w:color="auto" w:fill="FFFFFF"/>
          <w:lang w:eastAsia="zh-CN"/>
        </w:rPr>
        <w:t>分析</w:t>
      </w:r>
    </w:p>
    <w:p>
      <w:pPr>
        <w:numPr>
          <w:ilvl w:val="0"/>
          <w:numId w:val="6"/>
        </w:numPr>
        <w:snapToGrid w:val="0"/>
        <w:spacing w:line="520" w:lineRule="exact"/>
        <w:ind w:firstLine="643" w:firstLineChars="200"/>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部门预算项目绩效分析。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 w:eastAsia="仿宋_GB2312"/>
          <w:sz w:val="32"/>
          <w:szCs w:val="32"/>
          <w:lang w:val="en-US" w:eastAsia="zh-CN"/>
        </w:rPr>
        <w:t xml:space="preserve"> </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1.人员类项目绩效分析</w:t>
      </w:r>
    </w:p>
    <w:p>
      <w:pPr>
        <w:numPr>
          <w:ilvl w:val="0"/>
          <w:numId w:val="0"/>
        </w:numPr>
        <w:snapToGrid w:val="0"/>
        <w:spacing w:line="520" w:lineRule="exact"/>
        <w:rPr>
          <w:rFonts w:hint="eastAsia" w:ascii="仿宋_GB2312" w:hAnsi="宋体" w:eastAsia="仿宋_GB2312" w:cs="宋体"/>
          <w:color w:val="000000"/>
          <w:kern w:val="0"/>
          <w:sz w:val="32"/>
          <w:szCs w:val="24"/>
          <w:lang w:val="zh-CN" w:eastAsia="zh-CN" w:bidi="ar-SA"/>
        </w:rPr>
      </w:pPr>
      <w:r>
        <w:rPr>
          <w:rFonts w:hint="eastAsia" w:ascii="仿宋_GB2312" w:hAnsi="仿宋" w:eastAsia="仿宋_GB2312"/>
          <w:sz w:val="32"/>
          <w:szCs w:val="32"/>
          <w:lang w:val="en-US" w:eastAsia="zh-CN"/>
        </w:rPr>
        <w:t xml:space="preserve">     2022年我单位人员类项目</w:t>
      </w:r>
      <w:r>
        <w:rPr>
          <w:rFonts w:hint="eastAsia" w:ascii="仿宋_GB2312" w:hAnsi="仿宋" w:eastAsia="仿宋_GB2312" w:cs="Times New Roman"/>
          <w:sz w:val="32"/>
          <w:szCs w:val="32"/>
          <w:lang w:val="en-US" w:eastAsia="zh-CN"/>
        </w:rPr>
        <w:t>预算严格按照财政预算编制口径和标准编制，</w:t>
      </w:r>
      <w:r>
        <w:rPr>
          <w:rFonts w:hint="eastAsia" w:ascii="仿宋_GB2312" w:hAnsi="仿宋" w:eastAsia="仿宋_GB2312"/>
          <w:sz w:val="32"/>
          <w:szCs w:val="32"/>
          <w:lang w:val="en-US" w:eastAsia="zh-CN"/>
        </w:rPr>
        <w:t>用于保障单位职工社会保障缴费、工资发放及目标绩效兑现等，预算编制科学合理，</w:t>
      </w:r>
      <w:r>
        <w:rPr>
          <w:rFonts w:hint="eastAsia" w:ascii="仿宋_GB2312" w:hAnsi="仿宋" w:eastAsia="仿宋_GB2312" w:cs="Times New Roman"/>
          <w:sz w:val="32"/>
          <w:szCs w:val="32"/>
          <w:lang w:val="en-US" w:eastAsia="zh-CN"/>
        </w:rPr>
        <w:t>绩效指标与预算资金相匹配，</w:t>
      </w:r>
      <w:r>
        <w:rPr>
          <w:rFonts w:hint="eastAsia" w:ascii="仿宋_GB2312" w:hAnsi="仿宋" w:eastAsia="仿宋_GB2312" w:cs="Times New Roman"/>
          <w:sz w:val="32"/>
          <w:szCs w:val="32"/>
          <w:lang w:val="zh-CN" w:eastAsia="zh-CN"/>
        </w:rPr>
        <w:t>严</w:t>
      </w:r>
      <w:r>
        <w:rPr>
          <w:rFonts w:hint="eastAsia" w:ascii="仿宋_GB2312" w:hAnsi="宋体" w:eastAsia="仿宋_GB2312" w:cs="宋体"/>
          <w:color w:val="000000"/>
          <w:kern w:val="0"/>
          <w:sz w:val="32"/>
          <w:szCs w:val="24"/>
          <w:lang w:val="zh-CN" w:eastAsia="zh-CN" w:bidi="ar-SA"/>
        </w:rPr>
        <w:t>格按照财务管理制度，无违规记录。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2.运转类项目绩效分析</w:t>
      </w:r>
      <w:bookmarkStart w:id="67" w:name="_GoBack"/>
      <w:bookmarkEnd w:id="67"/>
    </w:p>
    <w:p>
      <w:pPr>
        <w:numPr>
          <w:ilvl w:val="0"/>
          <w:numId w:val="0"/>
        </w:numPr>
        <w:snapToGrid w:val="0"/>
        <w:spacing w:line="520" w:lineRule="exact"/>
        <w:ind w:firstLine="640" w:firstLineChars="200"/>
        <w:rPr>
          <w:rFonts w:hint="eastAsia" w:ascii="仿宋_GB2312" w:hAnsi="宋体" w:eastAsia="仿宋_GB2312" w:cs="宋体"/>
          <w:color w:val="000000"/>
          <w:kern w:val="0"/>
          <w:sz w:val="32"/>
          <w:szCs w:val="24"/>
          <w:lang w:val="en-US" w:eastAsia="zh-CN" w:bidi="ar-SA"/>
        </w:rPr>
      </w:pPr>
      <w:r>
        <w:rPr>
          <w:rFonts w:hint="eastAsia" w:ascii="仿宋_GB2312" w:hAnsi="宋体" w:eastAsia="仿宋_GB2312" w:cs="宋体"/>
          <w:color w:val="000000"/>
          <w:kern w:val="0"/>
          <w:sz w:val="32"/>
          <w:szCs w:val="24"/>
          <w:lang w:val="en-US" w:eastAsia="zh-CN" w:bidi="ar-SA"/>
        </w:rPr>
        <w:t>2022年我单位运转类项目设置合理，编制科学，用于保障单位日常运转，资金安排与工作相适应，用途明确，工作开展成效明显，无资金结余。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3.特定目标类项目绩效分析</w:t>
      </w:r>
    </w:p>
    <w:p>
      <w:pPr>
        <w:pageBreakBefore w:val="0"/>
        <w:kinsoku/>
        <w:wordWrap/>
        <w:overflowPunct/>
        <w:topLinePunct w:val="0"/>
        <w:bidi w:val="0"/>
        <w:spacing w:line="560" w:lineRule="exact"/>
        <w:ind w:firstLine="420" w:firstLineChars="200"/>
        <w:rPr>
          <w:rFonts w:hint="eastAsia" w:ascii="仿宋_GB2312" w:hAnsi="宋体" w:eastAsia="仿宋_GB2312" w:cs="宋体"/>
          <w:color w:val="000000"/>
          <w:kern w:val="0"/>
          <w:sz w:val="32"/>
          <w:szCs w:val="24"/>
          <w:lang w:val="zh-CN" w:eastAsia="zh-CN" w:bidi="ar-SA"/>
        </w:rPr>
      </w:pPr>
      <w:r>
        <w:rPr>
          <w:rFonts w:hint="eastAsia"/>
          <w:lang w:val="en-US" w:eastAsia="zh-CN"/>
        </w:rPr>
        <w:t xml:space="preserve">  </w:t>
      </w:r>
      <w:r>
        <w:rPr>
          <w:rFonts w:hint="eastAsia" w:ascii="仿宋_GB2312" w:hAnsi="宋体" w:eastAsia="仿宋_GB2312" w:cs="宋体"/>
          <w:color w:val="000000"/>
          <w:kern w:val="0"/>
          <w:sz w:val="32"/>
          <w:szCs w:val="24"/>
          <w:lang w:val="en-US" w:eastAsia="zh-CN" w:bidi="ar-SA"/>
        </w:rPr>
        <w:t>2022年我单位特定目标类项目</w:t>
      </w:r>
      <w:r>
        <w:rPr>
          <w:rFonts w:hint="eastAsia" w:ascii="仿宋_GB2312" w:hAnsi="宋体" w:eastAsia="仿宋_GB2312" w:cs="宋体"/>
          <w:color w:val="000000"/>
          <w:kern w:val="0"/>
          <w:sz w:val="32"/>
          <w:szCs w:val="24"/>
          <w:lang w:val="zh-CN" w:eastAsia="zh-CN" w:bidi="ar-SA"/>
        </w:rPr>
        <w:t>设立依据充分，立项程序合规，目标设定切实可行</w:t>
      </w:r>
      <w:r>
        <w:rPr>
          <w:rFonts w:hint="eastAsia" w:hAnsi="宋体" w:cs="宋体"/>
          <w:color w:val="000000"/>
          <w:kern w:val="0"/>
          <w:sz w:val="32"/>
          <w:szCs w:val="24"/>
          <w:lang w:val="zh-CN" w:eastAsia="zh-CN" w:bidi="ar-SA"/>
        </w:rPr>
        <w:t>，</w:t>
      </w:r>
      <w:r>
        <w:rPr>
          <w:rFonts w:hint="eastAsia" w:ascii="仿宋_GB2312" w:hAnsi="宋体" w:eastAsia="仿宋_GB2312" w:cs="宋体"/>
          <w:color w:val="000000"/>
          <w:kern w:val="0"/>
          <w:sz w:val="32"/>
          <w:szCs w:val="24"/>
          <w:lang w:val="en-US" w:eastAsia="zh-CN" w:bidi="ar-SA"/>
        </w:rPr>
        <w:t>资金计划与实际到位情况一致，到位率100%，到位及时</w:t>
      </w:r>
      <w:r>
        <w:rPr>
          <w:rFonts w:hint="eastAsia" w:hAnsi="宋体" w:cs="宋体"/>
          <w:color w:val="000000"/>
          <w:kern w:val="0"/>
          <w:sz w:val="32"/>
          <w:szCs w:val="24"/>
          <w:lang w:val="en-US" w:eastAsia="zh-CN" w:bidi="ar-SA"/>
        </w:rPr>
        <w:t>，</w:t>
      </w:r>
      <w:r>
        <w:rPr>
          <w:rFonts w:hint="eastAsia" w:ascii="仿宋_GB2312" w:hAnsi="宋体" w:eastAsia="仿宋_GB2312" w:cs="宋体"/>
          <w:color w:val="000000"/>
          <w:kern w:val="0"/>
          <w:sz w:val="32"/>
          <w:szCs w:val="24"/>
          <w:lang w:val="zh-CN" w:eastAsia="zh-CN" w:bidi="ar-SA"/>
        </w:rPr>
        <w:t>资金支付依据合规合法，资金支付与预算相符。</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（二）部门整体履职绩效分析。</w:t>
      </w:r>
    </w:p>
    <w:p>
      <w:pPr>
        <w:pStyle w:val="2"/>
        <w:spacing w:beforeLines="0" w:line="560" w:lineRule="exact"/>
        <w:ind w:firstLine="640" w:firstLineChars="200"/>
        <w:rPr>
          <w:rFonts w:hint="eastAsia" w:hAnsi="宋体" w:cs="宋体"/>
          <w:color w:val="000000"/>
          <w:sz w:val="32"/>
          <w:lang w:val="zh-CN"/>
        </w:rPr>
      </w:pPr>
      <w:r>
        <w:rPr>
          <w:rFonts w:hint="eastAsia" w:hAnsi="宋体" w:cs="宋体"/>
          <w:color w:val="000000"/>
          <w:sz w:val="32"/>
          <w:lang w:val="en-US" w:eastAsia="zh-CN"/>
        </w:rPr>
        <w:t>1.</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部门整体绩效目标完成情况</w:t>
      </w:r>
      <w:r>
        <w:rPr>
          <w:rFonts w:hint="eastAsia" w:hAnsi="仿宋_GB2312" w:cs="仿宋_GB2312"/>
          <w:b w:val="0"/>
          <w:bCs w:val="0"/>
          <w:color w:val="auto"/>
          <w:kern w:val="0"/>
          <w:sz w:val="32"/>
          <w:szCs w:val="32"/>
          <w:highlight w:val="none"/>
          <w:shd w:val="clear" w:color="auto" w:fill="FFFFFF"/>
          <w:lang w:val="zh-CN" w:eastAsia="zh-CN"/>
        </w:rPr>
        <w:t>。</w:t>
      </w:r>
      <w:r>
        <w:rPr>
          <w:rFonts w:hint="eastAsia" w:hAnsi="宋体" w:cs="宋体"/>
          <w:color w:val="000000"/>
          <w:sz w:val="32"/>
        </w:rPr>
        <w:t>各</w:t>
      </w:r>
      <w:r>
        <w:rPr>
          <w:rFonts w:hint="eastAsia" w:hAnsi="宋体" w:cs="宋体"/>
          <w:color w:val="000000"/>
          <w:sz w:val="32"/>
          <w:lang w:val="zh-CN"/>
        </w:rPr>
        <w:t>项目设立依据充分，符合项目业务工作要求，立项程序合规，目标设定切实可行，经费安排与工作相适应，资金用途明确，内控措施较为健全，工作开展严格按照相关规定执行，项目数量、质量完成好，进度安排合理，具有良好的社会效益，可持续影响明显，会计信息真实，工作开展成效明显；</w:t>
      </w:r>
    </w:p>
    <w:p>
      <w:pPr>
        <w:pageBreakBefore w:val="0"/>
        <w:kinsoku/>
        <w:wordWrap/>
        <w:overflowPunct/>
        <w:topLinePunct w:val="0"/>
        <w:bidi w:val="0"/>
        <w:spacing w:line="560" w:lineRule="exact"/>
        <w:ind w:firstLine="640" w:firstLineChars="200"/>
        <w:rPr>
          <w:rFonts w:hint="eastAsia" w:hAnsi="宋体" w:eastAsia="仿宋_GB2312" w:cs="宋体"/>
          <w:color w:val="000000"/>
          <w:sz w:val="32"/>
          <w:lang w:val="zh-CN" w:eastAsia="zh-CN"/>
        </w:rPr>
      </w:pPr>
      <w:r>
        <w:rPr>
          <w:rFonts w:hint="eastAsia" w:hAnsi="宋体" w:cs="宋体"/>
          <w:color w:val="000000"/>
          <w:sz w:val="32"/>
          <w:lang w:val="en-US" w:eastAsia="zh-CN"/>
        </w:rPr>
        <w:t>2.</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部门履职情况</w:t>
      </w:r>
      <w:r>
        <w:rPr>
          <w:rFonts w:hint="eastAsia" w:hAnsi="仿宋_GB2312" w:cs="仿宋_GB2312"/>
          <w:b w:val="0"/>
          <w:bCs w:val="0"/>
          <w:color w:val="auto"/>
          <w:kern w:val="0"/>
          <w:sz w:val="32"/>
          <w:szCs w:val="32"/>
          <w:highlight w:val="none"/>
          <w:shd w:val="clear" w:color="auto" w:fill="FFFFFF"/>
          <w:lang w:val="zh-CN" w:eastAsia="zh-CN"/>
        </w:rPr>
        <w:t>。</w:t>
      </w:r>
      <w:r>
        <w:rPr>
          <w:rFonts w:hint="eastAsia" w:eastAsia="仿宋_GB2312"/>
          <w:sz w:val="32"/>
          <w:szCs w:val="32"/>
        </w:rPr>
        <w:t>2022年，全县共组织55.5万人参加基本医疗保险，参保率99.15%。其中，特困人员、低保对象、防止返贫监测对象、已稳定脱贫人口等重点人员，参保率达100%</w:t>
      </w:r>
      <w:r>
        <w:rPr>
          <w:rFonts w:hint="eastAsia"/>
          <w:sz w:val="32"/>
          <w:szCs w:val="32"/>
          <w:lang w:eastAsia="zh-CN"/>
        </w:rPr>
        <w:t>，</w:t>
      </w:r>
      <w:r>
        <w:rPr>
          <w:rFonts w:hint="eastAsia" w:ascii="仿宋_GB2312" w:hAnsi="宋体" w:eastAsia="仿宋_GB2312" w:cs="宋体"/>
          <w:color w:val="000000"/>
          <w:kern w:val="0"/>
          <w:sz w:val="32"/>
          <w:szCs w:val="24"/>
          <w:lang w:val="en-US" w:eastAsia="zh-CN" w:bidi="ar-SA"/>
        </w:rPr>
        <w:t>基金征收工作成效明显；</w:t>
      </w:r>
      <w:r>
        <w:rPr>
          <w:rFonts w:hint="eastAsia" w:eastAsia="仿宋_GB2312"/>
          <w:sz w:val="32"/>
          <w:szCs w:val="32"/>
        </w:rPr>
        <w:t>深入开展“织密基金监管网 共筑医保防护线”宣传月活动，提高群众对医保政策的知晓度，共同维护医保基金安全</w:t>
      </w:r>
      <w:r>
        <w:rPr>
          <w:rFonts w:hint="eastAsia"/>
          <w:sz w:val="32"/>
          <w:szCs w:val="32"/>
          <w:lang w:eastAsia="zh-CN"/>
        </w:rPr>
        <w:t>；</w:t>
      </w:r>
      <w:r>
        <w:rPr>
          <w:rFonts w:hint="eastAsia" w:ascii="仿宋_GB2312" w:hAnsi="宋体" w:eastAsia="仿宋_GB2312" w:cs="宋体"/>
          <w:color w:val="000000"/>
          <w:kern w:val="0"/>
          <w:sz w:val="32"/>
          <w:szCs w:val="24"/>
          <w:lang w:val="en-US" w:eastAsia="zh-CN" w:bidi="ar-SA"/>
        </w:rPr>
        <w:t>配合各部门开展打击欺诈骗保行为，对医药机构开展专项检查，确保基金安全、高效、可持续运行。</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（三）结果应用情况。</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hAnsi="宋体" w:cs="宋体"/>
          <w:color w:val="000000"/>
          <w:sz w:val="32"/>
          <w:lang w:val="zh-CN"/>
        </w:rPr>
      </w:pPr>
      <w:r>
        <w:rPr>
          <w:rFonts w:hint="eastAsia" w:ascii="仿宋" w:hAnsi="仿宋" w:eastAsia="仿宋" w:cs="仿宋"/>
          <w:i w:val="0"/>
          <w:iCs w:val="0"/>
          <w:caps w:val="0"/>
          <w:color w:val="000000"/>
          <w:spacing w:val="0"/>
          <w:sz w:val="32"/>
          <w:szCs w:val="32"/>
          <w:shd w:val="clear" w:fill="FFFFFF"/>
          <w:lang w:eastAsia="zh-CN"/>
        </w:rPr>
        <w:t>我局</w:t>
      </w:r>
      <w:r>
        <w:rPr>
          <w:rFonts w:hint="eastAsia" w:ascii="仿宋" w:hAnsi="仿宋" w:eastAsia="仿宋" w:cs="仿宋"/>
          <w:i w:val="0"/>
          <w:iCs w:val="0"/>
          <w:caps w:val="0"/>
          <w:color w:val="000000"/>
          <w:spacing w:val="0"/>
          <w:sz w:val="32"/>
          <w:szCs w:val="32"/>
          <w:shd w:val="clear" w:fill="FFFFFF"/>
        </w:rPr>
        <w:t>将把</w:t>
      </w:r>
      <w:r>
        <w:rPr>
          <w:rFonts w:hint="eastAsia" w:ascii="仿宋" w:hAnsi="仿宋" w:eastAsia="仿宋" w:cs="仿宋"/>
          <w:i w:val="0"/>
          <w:iCs w:val="0"/>
          <w:caps w:val="0"/>
          <w:color w:val="000000"/>
          <w:spacing w:val="0"/>
          <w:sz w:val="32"/>
          <w:szCs w:val="32"/>
          <w:shd w:val="clear" w:fill="FFFFFF"/>
          <w:lang w:eastAsia="zh-CN"/>
        </w:rPr>
        <w:t>本次</w:t>
      </w:r>
      <w:r>
        <w:rPr>
          <w:rFonts w:hint="eastAsia" w:ascii="仿宋" w:hAnsi="仿宋" w:eastAsia="仿宋" w:cs="仿宋"/>
          <w:i w:val="0"/>
          <w:iCs w:val="0"/>
          <w:caps w:val="0"/>
          <w:color w:val="000000"/>
          <w:spacing w:val="0"/>
          <w:sz w:val="32"/>
          <w:szCs w:val="32"/>
          <w:shd w:val="clear" w:fill="FFFFFF"/>
        </w:rPr>
        <w:t>绩效评价报告和结果作为</w:t>
      </w:r>
      <w:r>
        <w:rPr>
          <w:rFonts w:hint="eastAsia" w:ascii="仿宋" w:hAnsi="仿宋" w:eastAsia="仿宋" w:cs="仿宋"/>
          <w:i w:val="0"/>
          <w:iCs w:val="0"/>
          <w:caps w:val="0"/>
          <w:color w:val="000000"/>
          <w:spacing w:val="0"/>
          <w:sz w:val="32"/>
          <w:szCs w:val="32"/>
          <w:shd w:val="clear" w:fill="FFFFFF"/>
          <w:lang w:eastAsia="zh-CN"/>
        </w:rPr>
        <w:t>下一</w:t>
      </w:r>
      <w:r>
        <w:rPr>
          <w:rFonts w:hint="eastAsia" w:ascii="仿宋" w:hAnsi="仿宋" w:eastAsia="仿宋" w:cs="仿宋"/>
          <w:i w:val="0"/>
          <w:iCs w:val="0"/>
          <w:caps w:val="0"/>
          <w:color w:val="000000"/>
          <w:spacing w:val="0"/>
          <w:sz w:val="32"/>
          <w:szCs w:val="32"/>
          <w:shd w:val="clear" w:fill="FFFFFF"/>
        </w:rPr>
        <w:t>年改进和提高资金使用效益的依据，提高预算编制质量，并按照规定将自评报告和评价结果列为政务公开的内容，接受社会监督。</w:t>
      </w:r>
    </w:p>
    <w:p>
      <w:pPr>
        <w:keepNext w:val="0"/>
        <w:keepLines w:val="0"/>
        <w:pageBreakBefore w:val="0"/>
        <w:widowControl/>
        <w:numPr>
          <w:ilvl w:val="0"/>
          <w:numId w:val="7"/>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自评质量。</w:t>
      </w:r>
    </w:p>
    <w:p>
      <w:pPr>
        <w:pStyle w:val="2"/>
        <w:spacing w:beforeLines="0" w:line="560" w:lineRule="exact"/>
        <w:ind w:firstLine="640" w:firstLineChars="200"/>
        <w:jc w:val="left"/>
        <w:rPr>
          <w:rFonts w:ascii="Times New Roman"/>
          <w:kern w:val="2"/>
          <w:sz w:val="32"/>
          <w:szCs w:val="32"/>
        </w:rPr>
      </w:pPr>
      <w:r>
        <w:rPr>
          <w:rFonts w:hint="eastAsia" w:ascii="Times New Roman"/>
          <w:kern w:val="2"/>
          <w:sz w:val="32"/>
          <w:szCs w:val="32"/>
        </w:rPr>
        <w:t>本单位年初目标任务明确，目标绩效完成较好</w:t>
      </w:r>
      <w:r>
        <w:rPr>
          <w:rFonts w:ascii="Times New Roman"/>
          <w:kern w:val="2"/>
          <w:sz w:val="32"/>
          <w:szCs w:val="32"/>
        </w:rPr>
        <w:t>，自评得分</w:t>
      </w:r>
      <w:r>
        <w:rPr>
          <w:rFonts w:hint="eastAsia" w:ascii="Times New Roman"/>
          <w:kern w:val="2"/>
          <w:sz w:val="32"/>
          <w:szCs w:val="32"/>
          <w:lang w:val="en-US" w:eastAsia="zh-CN"/>
        </w:rPr>
        <w:t>99</w:t>
      </w:r>
      <w:r>
        <w:rPr>
          <w:rFonts w:ascii="Times New Roman"/>
          <w:kern w:val="2"/>
          <w:sz w:val="32"/>
          <w:szCs w:val="32"/>
        </w:rPr>
        <w:t>分，评价等级为优秀</w:t>
      </w:r>
      <w:r>
        <w:rPr>
          <w:rFonts w:hint="eastAsia" w:ascii="Times New Roman"/>
          <w:kern w:val="2"/>
          <w:sz w:val="32"/>
          <w:szCs w:val="32"/>
        </w:rPr>
        <w:t>。</w:t>
      </w:r>
    </w:p>
    <w:p>
      <w:pPr>
        <w:widowControl/>
        <w:numPr>
          <w:ilvl w:val="0"/>
          <w:numId w:val="2"/>
        </w:numPr>
        <w:adjustRightInd w:val="0"/>
        <w:snapToGrid w:val="0"/>
        <w:spacing w:line="580" w:lineRule="exact"/>
        <w:ind w:left="1360" w:leftChars="0" w:hanging="720" w:firstLineChars="0"/>
        <w:contextualSpacing/>
        <w:jc w:val="left"/>
        <w:rPr>
          <w:rFonts w:hint="eastAsia"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评价结论及建议</w:t>
      </w:r>
    </w:p>
    <w:p>
      <w:pPr>
        <w:pStyle w:val="2"/>
        <w:spacing w:beforeLines="0" w:line="560" w:lineRule="exact"/>
        <w:ind w:firstLine="640" w:firstLineChars="200"/>
        <w:rPr>
          <w:rFonts w:hint="eastAsia" w:ascii="楷体" w:hAnsi="楷体" w:eastAsia="楷体" w:cs="楷体"/>
          <w:sz w:val="32"/>
          <w:lang w:val="zh-CN"/>
        </w:rPr>
      </w:pPr>
      <w:r>
        <w:rPr>
          <w:rFonts w:hint="eastAsia" w:ascii="楷体" w:hAnsi="楷体" w:eastAsia="楷体" w:cs="楷体"/>
          <w:sz w:val="32"/>
          <w:lang w:val="zh-CN"/>
        </w:rPr>
        <w:t>（一）评价结论</w:t>
      </w:r>
    </w:p>
    <w:p>
      <w:pPr>
        <w:pStyle w:val="2"/>
        <w:numPr>
          <w:ilvl w:val="0"/>
          <w:numId w:val="0"/>
        </w:numPr>
        <w:ind w:left="640" w:leftChars="0"/>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cs="Times New Roman"/>
          <w:kern w:val="2"/>
          <w:sz w:val="32"/>
          <w:szCs w:val="32"/>
          <w:highlight w:val="none"/>
          <w:lang w:val="en-US" w:eastAsia="zh-CN" w:bidi="ar-SA"/>
        </w:rPr>
        <w:t>1.个性</w:t>
      </w:r>
      <w:r>
        <w:rPr>
          <w:rFonts w:hint="eastAsia" w:ascii="Times New Roman" w:hAnsi="Times New Roman" w:eastAsia="仿宋_GB2312" w:cs="Times New Roman"/>
          <w:kern w:val="2"/>
          <w:sz w:val="32"/>
          <w:szCs w:val="32"/>
          <w:highlight w:val="none"/>
          <w:lang w:val="en-US" w:eastAsia="zh-CN" w:bidi="ar-SA"/>
        </w:rPr>
        <w:t>指标体系不够健全；</w:t>
      </w:r>
    </w:p>
    <w:p>
      <w:pPr>
        <w:pStyle w:val="2"/>
        <w:numPr>
          <w:ilvl w:val="0"/>
          <w:numId w:val="0"/>
        </w:numPr>
        <w:ind w:left="640" w:leftChars="0"/>
        <w:rPr>
          <w:lang w:val="zh-CN"/>
        </w:rPr>
      </w:pPr>
      <w:r>
        <w:rPr>
          <w:rFonts w:hint="eastAsia" w:ascii="Times New Roman" w:hAnsi="Times New Roman" w:eastAsia="仿宋_GB2312" w:cs="Times New Roman"/>
          <w:kern w:val="2"/>
          <w:sz w:val="32"/>
          <w:szCs w:val="32"/>
          <w:highlight w:val="none"/>
          <w:lang w:val="en-US" w:eastAsia="zh-CN" w:bidi="ar-SA"/>
        </w:rPr>
        <w:t>2、</w:t>
      </w:r>
      <w:r>
        <w:rPr>
          <w:rFonts w:hint="eastAsia" w:ascii="Times New Roman" w:hAnsi="Times New Roman" w:cs="Times New Roman"/>
          <w:kern w:val="2"/>
          <w:sz w:val="32"/>
          <w:szCs w:val="32"/>
          <w:highlight w:val="none"/>
          <w:lang w:val="en-US" w:eastAsia="zh-CN" w:bidi="ar-SA"/>
        </w:rPr>
        <w:t>绩效评价编制质量有待加强。</w:t>
      </w:r>
    </w:p>
    <w:p>
      <w:pPr>
        <w:pStyle w:val="2"/>
        <w:spacing w:beforeLines="0" w:line="560" w:lineRule="exact"/>
        <w:ind w:firstLine="640" w:firstLineChars="200"/>
        <w:rPr>
          <w:rFonts w:ascii="楷体" w:hAnsi="楷体" w:eastAsia="楷体" w:cs="楷体"/>
          <w:sz w:val="32"/>
        </w:rPr>
      </w:pPr>
      <w:r>
        <w:rPr>
          <w:rFonts w:hint="eastAsia" w:ascii="楷体" w:hAnsi="楷体" w:eastAsia="楷体" w:cs="楷体"/>
          <w:sz w:val="32"/>
        </w:rPr>
        <w:t>(</w:t>
      </w:r>
      <w:r>
        <w:rPr>
          <w:rFonts w:hint="eastAsia" w:ascii="楷体" w:hAnsi="楷体" w:eastAsia="楷体" w:cs="楷体"/>
          <w:sz w:val="32"/>
          <w:lang w:eastAsia="zh-CN"/>
        </w:rPr>
        <w:t>二</w:t>
      </w:r>
      <w:r>
        <w:rPr>
          <w:rFonts w:hint="eastAsia" w:ascii="楷体" w:hAnsi="楷体" w:eastAsia="楷体" w:cs="楷体"/>
          <w:sz w:val="32"/>
        </w:rPr>
        <w:t>)存在的问题</w:t>
      </w:r>
    </w:p>
    <w:p>
      <w:pPr>
        <w:pStyle w:val="2"/>
        <w:spacing w:beforeLines="0" w:line="560" w:lineRule="exact"/>
        <w:ind w:firstLine="640" w:firstLineChars="200"/>
        <w:rPr>
          <w:rFonts w:ascii="Times New Roman"/>
          <w:kern w:val="2"/>
          <w:sz w:val="32"/>
          <w:szCs w:val="32"/>
          <w:lang w:val="zh-CN"/>
        </w:rPr>
      </w:pPr>
      <w:r>
        <w:rPr>
          <w:rFonts w:hint="eastAsia" w:ascii="Times New Roman"/>
          <w:kern w:val="2"/>
          <w:sz w:val="32"/>
          <w:szCs w:val="32"/>
        </w:rPr>
        <w:t>1、绩效目标编制质量有待提升，绩效指标设置不完备</w:t>
      </w:r>
      <w:r>
        <w:rPr>
          <w:rFonts w:hint="eastAsia" w:ascii="Times New Roman"/>
          <w:kern w:val="2"/>
          <w:sz w:val="32"/>
          <w:szCs w:val="32"/>
          <w:lang w:val="zh-CN"/>
        </w:rPr>
        <w:t>；</w:t>
      </w:r>
    </w:p>
    <w:p>
      <w:pPr>
        <w:pStyle w:val="2"/>
        <w:spacing w:beforeLines="0" w:line="560" w:lineRule="exact"/>
        <w:ind w:firstLine="640" w:firstLineChars="200"/>
        <w:rPr>
          <w:rFonts w:ascii="Times New Roman"/>
          <w:kern w:val="2"/>
          <w:sz w:val="32"/>
          <w:szCs w:val="32"/>
        </w:rPr>
      </w:pPr>
      <w:r>
        <w:rPr>
          <w:rFonts w:hint="eastAsia" w:ascii="Times New Roman"/>
          <w:kern w:val="2"/>
          <w:sz w:val="32"/>
          <w:szCs w:val="32"/>
        </w:rPr>
        <w:t>2、对于绩效管理相关制度的建设不健全。</w:t>
      </w:r>
    </w:p>
    <w:p>
      <w:pPr>
        <w:pStyle w:val="2"/>
        <w:spacing w:beforeLines="0" w:line="560" w:lineRule="exact"/>
        <w:ind w:firstLine="640" w:firstLineChars="200"/>
        <w:rPr>
          <w:rFonts w:ascii="楷体" w:hAnsi="楷体" w:eastAsia="楷体" w:cs="楷体"/>
          <w:sz w:val="32"/>
          <w:lang w:val="zh-CN"/>
        </w:rPr>
      </w:pPr>
      <w:r>
        <w:rPr>
          <w:rFonts w:hint="eastAsia" w:ascii="楷体" w:hAnsi="楷体" w:eastAsia="楷体" w:cs="楷体"/>
          <w:sz w:val="32"/>
          <w:lang w:val="zh-CN"/>
        </w:rPr>
        <w:t>（三）改进建议</w:t>
      </w:r>
    </w:p>
    <w:p>
      <w:pPr>
        <w:pStyle w:val="2"/>
        <w:spacing w:beforeLines="0" w:line="560" w:lineRule="exact"/>
        <w:ind w:firstLine="640" w:firstLineChars="200"/>
        <w:rPr>
          <w:rFonts w:ascii="Times New Roman"/>
          <w:kern w:val="2"/>
          <w:sz w:val="32"/>
          <w:szCs w:val="32"/>
        </w:rPr>
      </w:pPr>
      <w:r>
        <w:rPr>
          <w:rFonts w:hint="eastAsia" w:ascii="Times New Roman"/>
          <w:kern w:val="2"/>
          <w:sz w:val="32"/>
          <w:szCs w:val="32"/>
        </w:rPr>
        <w:t>1、提高绩效管理水平，有效制定绩效目标，增强绩效管理意识；</w:t>
      </w:r>
    </w:p>
    <w:p>
      <w:pPr>
        <w:pStyle w:val="2"/>
        <w:spacing w:beforeLines="0" w:line="560" w:lineRule="exact"/>
        <w:ind w:firstLine="640" w:firstLineChars="200"/>
        <w:rPr>
          <w:rFonts w:ascii="Times New Roman"/>
          <w:kern w:val="2"/>
          <w:sz w:val="32"/>
          <w:szCs w:val="32"/>
          <w:highlight w:val="green"/>
        </w:rPr>
      </w:pPr>
      <w:r>
        <w:rPr>
          <w:rFonts w:hint="eastAsia" w:ascii="Times New Roman"/>
          <w:kern w:val="2"/>
          <w:sz w:val="32"/>
          <w:szCs w:val="32"/>
        </w:rPr>
        <w:t>2、</w:t>
      </w:r>
      <w:r>
        <w:rPr>
          <w:rFonts w:hint="eastAsia" w:ascii="Times New Roman" w:cs="仿宋_GB2312"/>
          <w:sz w:val="32"/>
          <w:szCs w:val="32"/>
        </w:rPr>
        <w:t>规范绩效管理相关制度及操作规程。</w:t>
      </w:r>
    </w:p>
    <w:p>
      <w:pPr>
        <w:pStyle w:val="2"/>
        <w:spacing w:before="93"/>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eastAsia="zh-CN"/>
        </w:rPr>
        <w:t>附表：</w:t>
      </w:r>
      <w:r>
        <w:rPr>
          <w:rFonts w:hint="eastAsia" w:ascii="仿宋_GB2312" w:hAnsi="仿宋_GB2312" w:eastAsia="仿宋_GB2312" w:cs="仿宋_GB2312"/>
          <w:color w:val="auto"/>
          <w:sz w:val="32"/>
          <w:szCs w:val="32"/>
          <w:highlight w:val="none"/>
          <w:lang w:val="en-US" w:eastAsia="zh-CN"/>
        </w:rPr>
        <w:t>部门预算项目支出绩效自评表（2022年度）</w:t>
      </w:r>
    </w:p>
    <w:p>
      <w:pPr>
        <w:pStyle w:val="2"/>
        <w:spacing w:before="93"/>
        <w:rPr>
          <w:rFonts w:hint="eastAsia" w:ascii="仿宋_GB2312" w:hAnsi="仿宋_GB2312" w:eastAsia="仿宋_GB2312" w:cs="仿宋_GB2312"/>
          <w:color w:val="auto"/>
          <w:sz w:val="32"/>
          <w:szCs w:val="32"/>
          <w:highlight w:val="none"/>
          <w:lang w:val="en-US" w:eastAsia="zh-CN"/>
        </w:rPr>
      </w:pPr>
    </w:p>
    <w:tbl>
      <w:tblPr>
        <w:tblStyle w:val="14"/>
        <w:tblW w:w="96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6"/>
        <w:gridCol w:w="886"/>
        <w:gridCol w:w="1129"/>
        <w:gridCol w:w="1554"/>
        <w:gridCol w:w="501"/>
        <w:gridCol w:w="756"/>
        <w:gridCol w:w="542"/>
        <w:gridCol w:w="936"/>
        <w:gridCol w:w="576"/>
        <w:gridCol w:w="576"/>
        <w:gridCol w:w="1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963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51192221R000000028919-事业在职人员社会保障缴费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医疗保障局</w:t>
            </w:r>
          </w:p>
        </w:tc>
        <w:tc>
          <w:tcPr>
            <w:tcW w:w="93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南江县医疗保障局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按时足额缴纳事业人员社保费用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5.38</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5.38</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0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自评得分100分，财政资金及时到位，足额缴纳事业人员社保费用。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9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项目负责人：杜秀双</w:t>
            </w:r>
          </w:p>
        </w:tc>
        <w:tc>
          <w:tcPr>
            <w:tcW w:w="46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财务负责人：马林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63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51192221R000000028921-行政在职人员社会保障缴费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医疗保障局</w:t>
            </w:r>
          </w:p>
        </w:tc>
        <w:tc>
          <w:tcPr>
            <w:tcW w:w="93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南江县医疗保障局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按时足额缴纳行政人员社保费用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102.26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88.44</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86.94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98.30%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102.26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88.44</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86.94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98.30%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0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自评得分100分，财政资金及时到位，足额缴纳行政人员社保费用。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9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项目负责人：杜秀双</w:t>
            </w:r>
          </w:p>
        </w:tc>
        <w:tc>
          <w:tcPr>
            <w:tcW w:w="46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财务负责人：马林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63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51192221R000000029760-行政离退休人员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医疗保障局</w:t>
            </w:r>
          </w:p>
        </w:tc>
        <w:tc>
          <w:tcPr>
            <w:tcW w:w="93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南江县医疗保障局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足额发放离退休人员费用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0.55</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0.55</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0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自评得分100分，财政资金及时到位，足及时足额发放离退休人员费用。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9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项目负责人：杜秀双</w:t>
            </w:r>
          </w:p>
        </w:tc>
        <w:tc>
          <w:tcPr>
            <w:tcW w:w="46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财务负责人：马林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63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51192221R000000176331-部门事业人员工资支出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医疗保障局</w:t>
            </w:r>
          </w:p>
        </w:tc>
        <w:tc>
          <w:tcPr>
            <w:tcW w:w="93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南江县医疗保障局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及时足额发放事业人员工资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6.41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12.19</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12.19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6.41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12.19</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12.19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0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自评得分100分，财政资金及时到位，及时足额保障事业人员工资发放。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9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项目负责人：杜秀双</w:t>
            </w:r>
          </w:p>
        </w:tc>
        <w:tc>
          <w:tcPr>
            <w:tcW w:w="46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财务负责人：马林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63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51192221R000000176337-部门行政人员基本支出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医疗保障局</w:t>
            </w:r>
          </w:p>
        </w:tc>
        <w:tc>
          <w:tcPr>
            <w:tcW w:w="93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南江县医疗保障局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及时足额发放行政人员工资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188.09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193.92</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193.91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99.99%</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188.09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193.92</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193.91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99.99%</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0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自评得分100分，财政资金及时到位，及时足额保障行政人员工资发放。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9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项目负责人：杜秀双</w:t>
            </w:r>
          </w:p>
        </w:tc>
        <w:tc>
          <w:tcPr>
            <w:tcW w:w="46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财务负责人：马林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63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51192221T000000203048-基金管理专项经费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医疗保障局</w:t>
            </w:r>
          </w:p>
        </w:tc>
        <w:tc>
          <w:tcPr>
            <w:tcW w:w="93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南江县医疗保障局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完成城乡居民和城镇职工医疗保险征缴任务，加强对医疗保险基金的管理，加强对定点医疗机构的管理，城乡居民参保达到98%以上，政策范围内住院费用比例达到75%，确保医疗保险政策落实到位，确保医疗保险基金安全完整。</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完成城乡居民和城镇职工医疗保险征缴任务，加强对医保基金的监管，确保基金高效安全使用。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城乡居民医保参保人数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≥98%</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基本医疗保险政策范围内住院费用支付比例（%）</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≥75%</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城乡居民基本医疗保险参保率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≥98%</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基本医疗保险参保率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≥98%</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保障离休干部住院医疗待遇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良</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4"/>
                <w:szCs w:val="14"/>
                <w:u w:val="none"/>
              </w:rPr>
            </w:pPr>
            <w:r>
              <w:rPr>
                <w:rFonts w:hint="eastAsia" w:ascii="微软雅黑" w:hAnsi="微软雅黑" w:eastAsia="微软雅黑" w:cs="微软雅黑"/>
                <w:i/>
                <w:iCs/>
                <w:color w:val="000000"/>
                <w:kern w:val="0"/>
                <w:sz w:val="14"/>
                <w:szCs w:val="14"/>
                <w:u w:val="none"/>
                <w:lang w:val="en-US" w:eastAsia="zh-CN" w:bidi="ar"/>
              </w:rPr>
              <w:t>离休人员资金需向财政申请，不能做到及时拨付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城乡居民基本医保参保率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≥98%</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城乡居民基本医保参保率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0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自评得分98分，城乡居民参保率≥98%，完成城镇职工征缴任务，开展对医药机构全覆盖监督检查，确保基金安全合理使用。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9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项目负责人：杜秀双</w:t>
            </w:r>
          </w:p>
        </w:tc>
        <w:tc>
          <w:tcPr>
            <w:tcW w:w="46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财务负责人：马林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63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51192221Y000000030263-在职人员公用经费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医疗保障局</w:t>
            </w:r>
          </w:p>
        </w:tc>
        <w:tc>
          <w:tcPr>
            <w:tcW w:w="93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南江县医疗保障局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提高预算编制质量，严格执行预算，保障单位日常运转。</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保障单位日常运转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31.14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29.82</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29.82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31.14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29.82</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29.82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0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自评得分100分，通过预算编制，合理使用公用经费，保障单位日常运转。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9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项目负责人：杜秀双</w:t>
            </w:r>
          </w:p>
        </w:tc>
        <w:tc>
          <w:tcPr>
            <w:tcW w:w="46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财务负责人：马林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63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51192221Y000000034932-机关工作人员公务交通补贴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医疗保障局</w:t>
            </w:r>
          </w:p>
        </w:tc>
        <w:tc>
          <w:tcPr>
            <w:tcW w:w="93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南江县医疗保障局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提高预算编制质量，严格执行预算，保障单位日常运转。</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保障职工交通补贴及时发放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22.86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23.09</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23.09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22.86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23.09</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23.09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0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自评得分100分，足额发放职工交通补贴费用。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9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项目负责人：杜秀双</w:t>
            </w:r>
          </w:p>
        </w:tc>
        <w:tc>
          <w:tcPr>
            <w:tcW w:w="46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财务负责人：马林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63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51192222R000000342180-离退休干部活动经费(科级以下)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医疗保障局</w:t>
            </w:r>
          </w:p>
        </w:tc>
        <w:tc>
          <w:tcPr>
            <w:tcW w:w="93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南江县医疗保障局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足额发放，保障离退休干部活动开展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0.06</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0.06</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0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自评得分100分，保障离退休人员活动开展。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9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项目负责人：杜秀双</w:t>
            </w:r>
          </w:p>
        </w:tc>
        <w:tc>
          <w:tcPr>
            <w:tcW w:w="46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财务负责人：马林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63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51192222R000000342878-离退休人员目标绩效奖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医疗保障局</w:t>
            </w:r>
          </w:p>
        </w:tc>
        <w:tc>
          <w:tcPr>
            <w:tcW w:w="93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南江县医疗保障局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足额发放离退休人员生活补助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98.08%</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98.08%</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0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自评得分100分，足额发放离退休人员目标绩效奖。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9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项目负责人：杜秀双</w:t>
            </w:r>
          </w:p>
        </w:tc>
        <w:tc>
          <w:tcPr>
            <w:tcW w:w="46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财务负责人：马林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63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51192222R000000343017-在职人员目标绩效奖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医疗保障局</w:t>
            </w:r>
          </w:p>
        </w:tc>
        <w:tc>
          <w:tcPr>
            <w:tcW w:w="93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南江县医疗保障局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及时足额兑现在职人员目标绩效奖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104.40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116.93</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116.73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99.83%</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104.40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116.93</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116.73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99.83%</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0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自评得分100分，及时足额兑现在职人员目标绩效奖。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9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项目负责人：杜秀双</w:t>
            </w:r>
          </w:p>
        </w:tc>
        <w:tc>
          <w:tcPr>
            <w:tcW w:w="46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财务负责人：马林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63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51192222R000006728056-职业年金虚账做实资金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医疗保障局</w:t>
            </w:r>
          </w:p>
        </w:tc>
        <w:tc>
          <w:tcPr>
            <w:tcW w:w="93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南江县医疗保障局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及时足额发放退休人员年金虚账做实资金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0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自评得分100分，及时足额发放退休人员职业年金虚账做实资金。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9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项目负责人：杜秀双</w:t>
            </w:r>
          </w:p>
        </w:tc>
        <w:tc>
          <w:tcPr>
            <w:tcW w:w="46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财务负责人：马林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63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51192222R000006735342-工资调标增资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医疗保障局</w:t>
            </w:r>
          </w:p>
        </w:tc>
        <w:tc>
          <w:tcPr>
            <w:tcW w:w="93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南江县医疗保障局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及时调整预算，兑现发放工资增资部分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16.41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19.11</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17.57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91.95%</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16.41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19.11</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17.57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91.95%</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0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自评得分100分，及时调整预算，兑现职工工资增资部分。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9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项目负责人：杜秀双</w:t>
            </w:r>
          </w:p>
        </w:tc>
        <w:tc>
          <w:tcPr>
            <w:tcW w:w="46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财务负责人：马林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63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51192222R000006888493-机关事业人员奖励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医疗保障局</w:t>
            </w:r>
          </w:p>
        </w:tc>
        <w:tc>
          <w:tcPr>
            <w:tcW w:w="93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南江县医疗保障局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及时足额发放事业人员奖励资金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0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自评得分100分，及时足额发放事业人员奖励资金。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9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项目负责人：杜秀双</w:t>
            </w:r>
          </w:p>
        </w:tc>
        <w:tc>
          <w:tcPr>
            <w:tcW w:w="46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财务负责人：马林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63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51192222T000006537945-医疗服务与保障能力提升补助资金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医疗保障局</w:t>
            </w:r>
          </w:p>
        </w:tc>
        <w:tc>
          <w:tcPr>
            <w:tcW w:w="93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南江县医疗保障局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提升医保信息化水平、办公基础设施等方面建设，切实保障医保信息系统高效、安全运行；加强打击欺诈骗保工作力度，切实保障医保基金合理有效使用；加快推进医保支付改革和DRG试点工作等。</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开展全域医保政策宣传活动，开展医保工作政府信息公开，全覆盖开展医药机构监督检查，印发医保宣传资料，提高医保政策知晓度，推进医保事业健康发展。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医保政策宣传资料印刷</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份</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≥100000份</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开展全域医保政策宣传活动</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定点医药机构监督检查覆盖率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跨省异地就医直接结算率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医保政策知晓率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外地居住人员对于政策了解不够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参保人员满意度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0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自评得分96分，打击欺诈骗保力度持续加强，高效安全使用医保基金，加强对医保政策宣传，提高群众对政策知晓度，提升参保力度。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9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项目负责人：杜秀双</w:t>
            </w:r>
          </w:p>
        </w:tc>
        <w:tc>
          <w:tcPr>
            <w:tcW w:w="46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财务负责人：马林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63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51192222T000006718201-社保公共服务能力建设资金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医疗保障局</w:t>
            </w:r>
          </w:p>
        </w:tc>
        <w:tc>
          <w:tcPr>
            <w:tcW w:w="93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南江县医疗保障局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强化医保基金预算管理工作，完善医保基金预决算管理办法，切实构建医保基金预决算监督管理的长效机制；确保医保基金高效运行，参保覆盖率持续增长。</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按时完成医保基金的决算工作，合理使用基金，确保基金高效运行。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医保业务经办基础设施设备购置</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张/把</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≤10张/把</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提高医保基金办结效率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提高参保群众获得感、幸福感</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不断增强</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不断增强</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推进医保事业健康发展</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不断增强</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不断增强</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参保人员满意度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0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自评得分100分，合理使用医保基金，确保基金高效运行。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9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项目负责人：杜秀双</w:t>
            </w:r>
          </w:p>
        </w:tc>
        <w:tc>
          <w:tcPr>
            <w:tcW w:w="46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财务负责人：马林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63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51192222Y000000345281-乡村振兴与脱贫攻坚衔接驻村经费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医疗保障局</w:t>
            </w:r>
          </w:p>
        </w:tc>
        <w:tc>
          <w:tcPr>
            <w:tcW w:w="93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南江县医疗保障局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乡村振兴与脱贫攻坚衔接驻村经费，按时足额发放李晓日常工作经费。</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按时足额保障驻村人员工作经费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2.67</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2.67</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资金发放及时率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≥98%</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社会保险管理工作完成率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≥98%</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资金发放及时率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≥98%</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社会保险管理工作完成率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≥98%</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精准扶贫点项目完成率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≥98%</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旅游收入增长率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≥98%</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读者满意度指标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社会保险管理工作完成率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0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自评得分100分，足额保障驻村人员工作经费，有效衔接乡村振兴工作。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9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项目负责人：杜秀双</w:t>
            </w:r>
          </w:p>
        </w:tc>
        <w:tc>
          <w:tcPr>
            <w:tcW w:w="46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财务负责人：马林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63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51192223R000008443954-在职人员工资-基本工资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医疗保障局</w:t>
            </w:r>
          </w:p>
        </w:tc>
        <w:tc>
          <w:tcPr>
            <w:tcW w:w="93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南江县医疗保障局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3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及时足额发放在职人员工资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0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0.74</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0.74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99.96%</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0.74</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0.74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99.96%</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0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自评得分100分，财政资金及时到位，及时足额保障在职人员工资发放。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9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项目负责人：杜秀双</w:t>
            </w:r>
          </w:p>
        </w:tc>
        <w:tc>
          <w:tcPr>
            <w:tcW w:w="46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财务负责人：马林</w:t>
            </w:r>
          </w:p>
        </w:tc>
      </w:tr>
    </w:tbl>
    <w:p>
      <w:pPr>
        <w:pStyle w:val="2"/>
        <w:spacing w:before="93"/>
        <w:rPr>
          <w:rFonts w:hint="eastAsia" w:ascii="仿宋_GB2312" w:hAnsi="仿宋_GB2312" w:eastAsia="仿宋_GB2312" w:cs="仿宋_GB2312"/>
          <w:color w:val="auto"/>
          <w:sz w:val="32"/>
          <w:szCs w:val="32"/>
          <w:highlight w:val="none"/>
          <w:lang w:val="en-US" w:eastAsia="zh-CN"/>
        </w:rPr>
      </w:pPr>
    </w:p>
    <w:p>
      <w:pPr>
        <w:pStyle w:val="2"/>
        <w:spacing w:before="93"/>
        <w:rPr>
          <w:rFonts w:hint="eastAsia" w:ascii="仿宋_GB2312" w:hAnsi="仿宋_GB2312" w:eastAsia="仿宋_GB2312" w:cs="仿宋_GB2312"/>
          <w:color w:val="auto"/>
          <w:sz w:val="32"/>
          <w:szCs w:val="32"/>
          <w:highlight w:val="none"/>
          <w:lang w:val="en-US" w:eastAsia="zh-CN"/>
        </w:rPr>
      </w:pPr>
    </w:p>
    <w:p>
      <w:pPr>
        <w:pStyle w:val="2"/>
        <w:spacing w:before="93"/>
        <w:rPr>
          <w:rFonts w:hint="eastAsia" w:ascii="Times New Roman" w:eastAsia="方正仿宋简体"/>
          <w:sz w:val="32"/>
          <w:szCs w:val="32"/>
        </w:rPr>
      </w:pPr>
      <w:r>
        <w:rPr>
          <w:rFonts w:hint="eastAsia" w:ascii="Times New Roman" w:eastAsia="方正仿宋简体"/>
          <w:sz w:val="32"/>
          <w:szCs w:val="32"/>
        </w:rPr>
        <w:t xml:space="preserve">   </w:t>
      </w:r>
    </w:p>
    <w:p>
      <w:pPr>
        <w:pStyle w:val="2"/>
        <w:spacing w:before="93"/>
        <w:rPr>
          <w:rFonts w:hAnsi="宋体" w:cs="宋体"/>
          <w:color w:val="000000"/>
          <w:sz w:val="32"/>
        </w:rPr>
      </w:pPr>
      <w:r>
        <w:rPr>
          <w:rFonts w:hint="eastAsia" w:ascii="Times New Roman" w:eastAsia="方正仿宋简体"/>
          <w:sz w:val="32"/>
          <w:szCs w:val="32"/>
        </w:rPr>
        <w:t xml:space="preserve">                 </w:t>
      </w:r>
    </w:p>
    <w:p>
      <w:pPr>
        <w:pStyle w:val="2"/>
        <w:spacing w:before="93"/>
        <w:rPr>
          <w:rFonts w:hAnsi="宋体" w:cs="宋体"/>
          <w:color w:val="000000"/>
          <w:sz w:val="32"/>
        </w:rPr>
      </w:pPr>
    </w:p>
    <w:p>
      <w:pPr>
        <w:spacing w:line="580" w:lineRule="exact"/>
        <w:rPr>
          <w:rStyle w:val="28"/>
          <w:rFonts w:ascii="黑体" w:hAnsi="黑体" w:eastAsia="黑体"/>
          <w:b w:val="0"/>
        </w:rPr>
      </w:pPr>
    </w:p>
    <w:p>
      <w:pPr>
        <w:widowControl/>
        <w:jc w:val="left"/>
        <w:rPr>
          <w:rStyle w:val="28"/>
          <w:rFonts w:ascii="黑体" w:hAnsi="黑体" w:eastAsia="黑体"/>
          <w:b w:val="0"/>
        </w:rPr>
      </w:pPr>
    </w:p>
    <w:p>
      <w:pPr>
        <w:spacing w:line="600" w:lineRule="exact"/>
        <w:jc w:val="center"/>
        <w:outlineLvl w:val="0"/>
        <w:rPr>
          <w:rFonts w:ascii="仿宋" w:hAnsi="仿宋" w:eastAsia="仿宋"/>
        </w:rPr>
      </w:pPr>
      <w:bookmarkStart w:id="53" w:name="_Toc15396618"/>
      <w:r>
        <w:rPr>
          <w:rFonts w:hint="eastAsia" w:ascii="黑体" w:hAnsi="黑体" w:eastAsia="黑体"/>
          <w:sz w:val="44"/>
          <w:szCs w:val="44"/>
        </w:rPr>
        <w:t>第</w:t>
      </w:r>
      <w:r>
        <w:rPr>
          <w:rStyle w:val="28"/>
          <w:rFonts w:hint="eastAsia" w:ascii="黑体" w:hAnsi="黑体" w:eastAsia="黑体"/>
          <w:b w:val="0"/>
        </w:rPr>
        <w:t>五部分 附表</w:t>
      </w:r>
      <w:bookmarkEnd w:id="51"/>
      <w:bookmarkEnd w:id="53"/>
      <w:bookmarkStart w:id="54" w:name="_Toc15396619"/>
    </w:p>
    <w:p>
      <w:pPr>
        <w:pStyle w:val="4"/>
        <w:rPr>
          <w:rFonts w:ascii="仿宋" w:hAnsi="仿宋" w:eastAsia="仿宋"/>
        </w:rPr>
      </w:pPr>
      <w:r>
        <w:rPr>
          <w:rFonts w:hint="eastAsia" w:ascii="仿宋" w:hAnsi="仿宋" w:eastAsia="仿宋"/>
          <w:b w:val="0"/>
        </w:rPr>
        <w:t>一、收</w:t>
      </w:r>
      <w:r>
        <w:rPr>
          <w:rStyle w:val="29"/>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9"/>
          <w:rFonts w:hint="eastAsia" w:ascii="仿宋" w:hAnsi="仿宋" w:eastAsia="仿宋"/>
          <w:b w:val="0"/>
          <w:bCs w:val="0"/>
        </w:rPr>
        <w:t>入决算表</w:t>
      </w:r>
      <w:bookmarkEnd w:id="55"/>
    </w:p>
    <w:p>
      <w:pPr>
        <w:pStyle w:val="4"/>
        <w:rPr>
          <w:rFonts w:ascii="仿宋" w:hAnsi="仿宋" w:eastAsia="仿宋"/>
        </w:rPr>
      </w:pPr>
      <w:bookmarkStart w:id="56" w:name="_Toc15396621"/>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57"/>
    </w:p>
    <w:p>
      <w:pPr>
        <w:pStyle w:val="4"/>
        <w:rPr>
          <w:rStyle w:val="29"/>
          <w:rFonts w:ascii="仿宋" w:hAnsi="仿宋" w:eastAsia="仿宋"/>
          <w:b w:val="0"/>
          <w:bCs w:val="0"/>
        </w:rPr>
      </w:pPr>
      <w:bookmarkStart w:id="58" w:name="_Toc15396623"/>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29"/>
          <w:rFonts w:hint="eastAsia" w:ascii="仿宋" w:hAnsi="仿宋" w:eastAsia="仿宋"/>
          <w:b w:val="0"/>
          <w:bCs w:val="0"/>
        </w:rPr>
        <w:t>十、</w:t>
      </w:r>
      <w:bookmarkEnd w:id="63"/>
      <w:r>
        <w:rPr>
          <w:rFonts w:hint="eastAsia" w:ascii="仿宋" w:hAnsi="仿宋" w:eastAsia="仿宋"/>
          <w:b w:val="0"/>
        </w:rPr>
        <w:t>政</w:t>
      </w:r>
      <w:r>
        <w:rPr>
          <w:rStyle w:val="29"/>
          <w:rFonts w:hint="eastAsia" w:ascii="仿宋" w:hAnsi="仿宋" w:eastAsia="仿宋"/>
          <w:b w:val="0"/>
          <w:bCs w:val="0"/>
        </w:rPr>
        <w:t>府性基金预算财政拨款收入支出决算表</w:t>
      </w:r>
    </w:p>
    <w:p>
      <w:pPr>
        <w:pStyle w:val="4"/>
        <w:rPr>
          <w:rFonts w:ascii="仿宋" w:hAnsi="仿宋" w:eastAsia="仿宋"/>
        </w:rPr>
      </w:pPr>
      <w:bookmarkStart w:id="64" w:name="_Toc15396629"/>
      <w:r>
        <w:rPr>
          <w:rStyle w:val="29"/>
          <w:rFonts w:hint="eastAsia" w:ascii="仿宋" w:hAnsi="仿宋" w:eastAsia="仿宋"/>
          <w:b w:val="0"/>
          <w:bCs w:val="0"/>
        </w:rPr>
        <w:t>十一、</w:t>
      </w:r>
      <w:bookmarkEnd w:id="64"/>
      <w:r>
        <w:rPr>
          <w:rFonts w:hint="eastAsia" w:ascii="仿宋" w:hAnsi="仿宋" w:eastAsia="仿宋"/>
          <w:b w:val="0"/>
        </w:rPr>
        <w:t>国</w:t>
      </w:r>
      <w:r>
        <w:rPr>
          <w:rStyle w:val="29"/>
          <w:rFonts w:hint="eastAsia" w:ascii="仿宋" w:hAnsi="仿宋" w:eastAsia="仿宋"/>
          <w:b w:val="0"/>
          <w:bCs w:val="0"/>
        </w:rPr>
        <w:t>有资本经营预算财政拨款收入支出决算表</w:t>
      </w:r>
    </w:p>
    <w:p>
      <w:pPr>
        <w:pStyle w:val="4"/>
        <w:rPr>
          <w:rFonts w:ascii="仿宋" w:hAnsi="仿宋" w:eastAsia="仿宋"/>
        </w:rPr>
      </w:pPr>
      <w:bookmarkStart w:id="65" w:name="_Toc15396630"/>
      <w:r>
        <w:rPr>
          <w:rStyle w:val="29"/>
          <w:rFonts w:hint="eastAsia" w:ascii="仿宋" w:hAnsi="仿宋" w:eastAsia="仿宋"/>
          <w:b w:val="0"/>
          <w:bCs w:val="0"/>
        </w:rPr>
        <w:t>十二、</w:t>
      </w:r>
      <w:bookmarkEnd w:id="65"/>
      <w:r>
        <w:rPr>
          <w:rStyle w:val="29"/>
          <w:rFonts w:hint="eastAsia" w:ascii="仿宋" w:hAnsi="仿宋" w:eastAsia="仿宋"/>
          <w:b w:val="0"/>
          <w:bCs w:val="0"/>
        </w:rPr>
        <w:t>国有资本经营预算财政拨款支出决算表</w:t>
      </w:r>
    </w:p>
    <w:p>
      <w:pPr>
        <w:pStyle w:val="4"/>
        <w:rPr>
          <w:rFonts w:eastAsia="仿宋"/>
        </w:rPr>
      </w:pPr>
      <w:bookmarkStart w:id="66" w:name="_Toc15396631"/>
      <w:r>
        <w:rPr>
          <w:rStyle w:val="29"/>
          <w:rFonts w:hint="eastAsia" w:ascii="仿宋" w:hAnsi="仿宋" w:eastAsia="仿宋"/>
          <w:b w:val="0"/>
          <w:bCs w:val="0"/>
        </w:rPr>
        <w:t>十三、</w:t>
      </w:r>
      <w:bookmarkEnd w:id="66"/>
      <w:r>
        <w:rPr>
          <w:rStyle w:val="29"/>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仿宋简体">
    <w:altName w:val="Arial Unicode MS"/>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66213B1"/>
    <w:multiLevelType w:val="singleLevel"/>
    <w:tmpl w:val="D66213B1"/>
    <w:lvl w:ilvl="0" w:tentative="0">
      <w:start w:val="1"/>
      <w:numFmt w:val="chineseCounting"/>
      <w:suff w:val="nothing"/>
      <w:lvlText w:val="（%1）"/>
      <w:lvlJc w:val="left"/>
      <w:rPr>
        <w:rFonts w:hint="eastAsia"/>
      </w:rPr>
    </w:lvl>
  </w:abstractNum>
  <w:abstractNum w:abstractNumId="2">
    <w:nsid w:val="DEBEF323"/>
    <w:multiLevelType w:val="singleLevel"/>
    <w:tmpl w:val="DEBEF323"/>
    <w:lvl w:ilvl="0" w:tentative="0">
      <w:start w:val="4"/>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E646022B"/>
    <w:multiLevelType w:val="singleLevel"/>
    <w:tmpl w:val="E646022B"/>
    <w:lvl w:ilvl="0" w:tentative="0">
      <w:start w:val="2"/>
      <w:numFmt w:val="chineseCounting"/>
      <w:suff w:val="nothing"/>
      <w:lvlText w:val="（%1）"/>
      <w:lvlJc w:val="left"/>
      <w:pPr>
        <w:ind w:left="630" w:leftChars="0" w:firstLine="0" w:firstLineChars="0"/>
      </w:pPr>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4AF2562B"/>
    <w:multiLevelType w:val="singleLevel"/>
    <w:tmpl w:val="4AF2562B"/>
    <w:lvl w:ilvl="0" w:tentative="0">
      <w:start w:val="1"/>
      <w:numFmt w:val="chineseCounting"/>
      <w:suff w:val="nothing"/>
      <w:lvlText w:val="%1、"/>
      <w:lvlJc w:val="left"/>
      <w:rPr>
        <w:rFonts w:hint="eastAsia"/>
      </w:rPr>
    </w:lvl>
  </w:abstractNum>
  <w:num w:numId="1">
    <w:abstractNumId w:val="6"/>
  </w:num>
  <w:num w:numId="2">
    <w:abstractNumId w:val="5"/>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1OTA4NGRiNjZiZmI4NTZmNGJmMDNjMjI4NmJjZm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C0D9D"/>
    <w:rsid w:val="001D7531"/>
    <w:rsid w:val="001E737D"/>
    <w:rsid w:val="001F0592"/>
    <w:rsid w:val="001F7506"/>
    <w:rsid w:val="002006CD"/>
    <w:rsid w:val="00202B36"/>
    <w:rsid w:val="00204B7A"/>
    <w:rsid w:val="00204CDE"/>
    <w:rsid w:val="0021101A"/>
    <w:rsid w:val="00220536"/>
    <w:rsid w:val="00235629"/>
    <w:rsid w:val="00236FD8"/>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1F21"/>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234C6"/>
    <w:rsid w:val="00E331A1"/>
    <w:rsid w:val="00E33202"/>
    <w:rsid w:val="00E336A9"/>
    <w:rsid w:val="00E472B1"/>
    <w:rsid w:val="00E50624"/>
    <w:rsid w:val="00E568DF"/>
    <w:rsid w:val="00E64269"/>
    <w:rsid w:val="00E77455"/>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E3D92"/>
    <w:rsid w:val="015975B8"/>
    <w:rsid w:val="01FC6C3E"/>
    <w:rsid w:val="02143E91"/>
    <w:rsid w:val="02533AFB"/>
    <w:rsid w:val="033E2A36"/>
    <w:rsid w:val="05205A10"/>
    <w:rsid w:val="06317676"/>
    <w:rsid w:val="066E0107"/>
    <w:rsid w:val="07996F6E"/>
    <w:rsid w:val="07BC4E4B"/>
    <w:rsid w:val="09604D9F"/>
    <w:rsid w:val="0A2032A3"/>
    <w:rsid w:val="0D2C3CDA"/>
    <w:rsid w:val="0D7E5C4A"/>
    <w:rsid w:val="0DFA7FB0"/>
    <w:rsid w:val="0F98263C"/>
    <w:rsid w:val="0FE6110A"/>
    <w:rsid w:val="101860EC"/>
    <w:rsid w:val="10C055FF"/>
    <w:rsid w:val="118107EC"/>
    <w:rsid w:val="12BA4DA0"/>
    <w:rsid w:val="13675A6C"/>
    <w:rsid w:val="13D50BC4"/>
    <w:rsid w:val="147F7C80"/>
    <w:rsid w:val="16BB723D"/>
    <w:rsid w:val="182855F1"/>
    <w:rsid w:val="18CB7D1D"/>
    <w:rsid w:val="19E8647D"/>
    <w:rsid w:val="1B1069E9"/>
    <w:rsid w:val="1BE8440E"/>
    <w:rsid w:val="1C24274C"/>
    <w:rsid w:val="1C541275"/>
    <w:rsid w:val="1D155CEE"/>
    <w:rsid w:val="1FF35744"/>
    <w:rsid w:val="205E7DC0"/>
    <w:rsid w:val="217E5AC6"/>
    <w:rsid w:val="225B638B"/>
    <w:rsid w:val="23860B96"/>
    <w:rsid w:val="23D3374E"/>
    <w:rsid w:val="240371BF"/>
    <w:rsid w:val="243E25E7"/>
    <w:rsid w:val="249B09A6"/>
    <w:rsid w:val="25850E1C"/>
    <w:rsid w:val="25B329B2"/>
    <w:rsid w:val="29467212"/>
    <w:rsid w:val="29FD04D3"/>
    <w:rsid w:val="2C29125D"/>
    <w:rsid w:val="2C8A61B5"/>
    <w:rsid w:val="2DAF6534"/>
    <w:rsid w:val="2DF04E50"/>
    <w:rsid w:val="2F040D46"/>
    <w:rsid w:val="2FF72DA7"/>
    <w:rsid w:val="31440454"/>
    <w:rsid w:val="319F7F4E"/>
    <w:rsid w:val="31D521CB"/>
    <w:rsid w:val="323D4D7D"/>
    <w:rsid w:val="32AC7DD6"/>
    <w:rsid w:val="32F14609"/>
    <w:rsid w:val="3304709D"/>
    <w:rsid w:val="36AA5135"/>
    <w:rsid w:val="376D39B2"/>
    <w:rsid w:val="37E16F03"/>
    <w:rsid w:val="385352C4"/>
    <w:rsid w:val="38731134"/>
    <w:rsid w:val="38B11D63"/>
    <w:rsid w:val="38D469F0"/>
    <w:rsid w:val="390D33D2"/>
    <w:rsid w:val="3C24304D"/>
    <w:rsid w:val="3C3519B4"/>
    <w:rsid w:val="3C506122"/>
    <w:rsid w:val="3CA149B8"/>
    <w:rsid w:val="3D98207C"/>
    <w:rsid w:val="3E78745D"/>
    <w:rsid w:val="3EE67FD5"/>
    <w:rsid w:val="40061D9E"/>
    <w:rsid w:val="40E9430D"/>
    <w:rsid w:val="426F4573"/>
    <w:rsid w:val="42E90063"/>
    <w:rsid w:val="43E26DC3"/>
    <w:rsid w:val="44E268DA"/>
    <w:rsid w:val="46284E65"/>
    <w:rsid w:val="4A627F82"/>
    <w:rsid w:val="4A881849"/>
    <w:rsid w:val="4B0E749A"/>
    <w:rsid w:val="4B4F25DA"/>
    <w:rsid w:val="4BE068DB"/>
    <w:rsid w:val="4C273674"/>
    <w:rsid w:val="4D577224"/>
    <w:rsid w:val="4D673998"/>
    <w:rsid w:val="4EAB630A"/>
    <w:rsid w:val="4ECE2238"/>
    <w:rsid w:val="51932FAD"/>
    <w:rsid w:val="52762A77"/>
    <w:rsid w:val="532126C4"/>
    <w:rsid w:val="537E6D0A"/>
    <w:rsid w:val="53C80FD0"/>
    <w:rsid w:val="53D53444"/>
    <w:rsid w:val="54971318"/>
    <w:rsid w:val="54A97A3D"/>
    <w:rsid w:val="56694C24"/>
    <w:rsid w:val="576D7FE6"/>
    <w:rsid w:val="5A647BDD"/>
    <w:rsid w:val="5AF7469F"/>
    <w:rsid w:val="5AF92295"/>
    <w:rsid w:val="5BBC1352"/>
    <w:rsid w:val="5CB01856"/>
    <w:rsid w:val="5CD71FC4"/>
    <w:rsid w:val="601B12D0"/>
    <w:rsid w:val="605945F1"/>
    <w:rsid w:val="61882C41"/>
    <w:rsid w:val="621F43E9"/>
    <w:rsid w:val="63054BA4"/>
    <w:rsid w:val="631E315D"/>
    <w:rsid w:val="658E6531"/>
    <w:rsid w:val="65D92E5D"/>
    <w:rsid w:val="674771F5"/>
    <w:rsid w:val="67E6636C"/>
    <w:rsid w:val="688345E5"/>
    <w:rsid w:val="68F36DB8"/>
    <w:rsid w:val="6B892D17"/>
    <w:rsid w:val="6B96396E"/>
    <w:rsid w:val="6C4A05C8"/>
    <w:rsid w:val="6E7E3605"/>
    <w:rsid w:val="6FF5CC65"/>
    <w:rsid w:val="715C0E4B"/>
    <w:rsid w:val="71EA7B61"/>
    <w:rsid w:val="72734D90"/>
    <w:rsid w:val="73AD73D5"/>
    <w:rsid w:val="73B6EB34"/>
    <w:rsid w:val="744731E5"/>
    <w:rsid w:val="76BC4678"/>
    <w:rsid w:val="76E3355F"/>
    <w:rsid w:val="778769C8"/>
    <w:rsid w:val="77D5273D"/>
    <w:rsid w:val="792409F5"/>
    <w:rsid w:val="79EE5BA4"/>
    <w:rsid w:val="7A894339"/>
    <w:rsid w:val="7AC8601E"/>
    <w:rsid w:val="7EEF11D3"/>
    <w:rsid w:val="7F1C5AC4"/>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200"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1"/>
    <w:semiHidden/>
    <w:unhideWhenUsed/>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Body Text First Indent 2"/>
    <w:basedOn w:val="6"/>
    <w:unhideWhenUsed/>
    <w:qFormat/>
    <w:uiPriority w:val="99"/>
    <w:pPr>
      <w:ind w:firstLine="420" w:firstLineChars="2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Char"/>
    <w:link w:val="10"/>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Char"/>
    <w:link w:val="9"/>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Char"/>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6"/>
    <w:link w:val="3"/>
    <w:qFormat/>
    <w:uiPriority w:val="9"/>
    <w:rPr>
      <w:rFonts w:ascii="Times New Roman" w:hAnsi="Times New Roman"/>
      <w:b/>
      <w:bCs/>
      <w:kern w:val="44"/>
      <w:sz w:val="44"/>
      <w:szCs w:val="44"/>
    </w:rPr>
  </w:style>
  <w:style w:type="character" w:customStyle="1" w:styleId="29">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6"/>
    <w:link w:val="8"/>
    <w:semiHidden/>
    <w:qFormat/>
    <w:uiPriority w:val="99"/>
    <w:rPr>
      <w:rFonts w:ascii="Times New Roman" w:hAnsi="Times New Roman"/>
      <w:kern w:val="2"/>
      <w:sz w:val="18"/>
      <w:szCs w:val="18"/>
    </w:rPr>
  </w:style>
  <w:style w:type="character" w:customStyle="1" w:styleId="32">
    <w:name w:val="标题 3 Char"/>
    <w:basedOn w:val="16"/>
    <w:link w:val="5"/>
    <w:qFormat/>
    <w:uiPriority w:val="9"/>
    <w:rPr>
      <w:rFonts w:ascii="Times New Roman" w:hAnsi="Times New Roman"/>
      <w:b/>
      <w:bCs/>
      <w:kern w:val="2"/>
      <w:sz w:val="32"/>
      <w:szCs w:val="32"/>
    </w:rPr>
  </w:style>
  <w:style w:type="paragraph" w:customStyle="1" w:styleId="33">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四号正文"/>
    <w:basedOn w:val="1"/>
    <w:qFormat/>
    <w:uiPriority w:val="0"/>
    <w:pPr>
      <w:spacing w:line="360" w:lineRule="auto"/>
    </w:pPr>
    <w:rPr>
      <w:rFonts w:ascii="??" w:hAnsi="??"/>
      <w:color w:val="000000"/>
      <w:kern w:val="0"/>
      <w:sz w:val="28"/>
      <w:szCs w:val="21"/>
      <w:lang w:val="zh-CN"/>
    </w:rPr>
  </w:style>
  <w:style w:type="character" w:customStyle="1" w:styleId="35">
    <w:name w:val="font11"/>
    <w:basedOn w:val="16"/>
    <w:qFormat/>
    <w:uiPriority w:val="0"/>
    <w:rPr>
      <w:rFonts w:hint="eastAsia" w:ascii="黑体" w:hAnsi="宋体" w:eastAsia="黑体" w:cs="黑体"/>
      <w:color w:val="000000"/>
      <w:sz w:val="32"/>
      <w:szCs w:val="32"/>
      <w:u w:val="none"/>
    </w:rPr>
  </w:style>
  <w:style w:type="character" w:customStyle="1" w:styleId="36">
    <w:name w:val="font91"/>
    <w:basedOn w:val="16"/>
    <w:qFormat/>
    <w:uiPriority w:val="0"/>
    <w:rPr>
      <w:rFonts w:hint="default" w:ascii="Times New Roman" w:hAnsi="Times New Roman" w:cs="Times New Roman"/>
      <w:color w:val="000000"/>
      <w:sz w:val="32"/>
      <w:szCs w:val="32"/>
      <w:u w:val="none"/>
    </w:rPr>
  </w:style>
  <w:style w:type="character" w:customStyle="1" w:styleId="37">
    <w:name w:val="font41"/>
    <w:basedOn w:val="16"/>
    <w:qFormat/>
    <w:uiPriority w:val="0"/>
    <w:rPr>
      <w:rFonts w:hint="default" w:ascii="Times New Roman" w:hAnsi="Times New Roman" w:cs="Times New Roman"/>
      <w:color w:val="000000"/>
      <w:sz w:val="36"/>
      <w:szCs w:val="36"/>
      <w:u w:val="none"/>
    </w:rPr>
  </w:style>
  <w:style w:type="character" w:customStyle="1" w:styleId="38">
    <w:name w:val="font101"/>
    <w:basedOn w:val="16"/>
    <w:qFormat/>
    <w:uiPriority w:val="0"/>
    <w:rPr>
      <w:rFonts w:hint="eastAsia" w:ascii="黑体" w:hAnsi="宋体" w:eastAsia="黑体" w:cs="黑体"/>
      <w:color w:val="000000"/>
      <w:sz w:val="36"/>
      <w:szCs w:val="36"/>
      <w:u w:val="none"/>
    </w:rPr>
  </w:style>
  <w:style w:type="character" w:customStyle="1" w:styleId="39">
    <w:name w:val="font31"/>
    <w:basedOn w:val="16"/>
    <w:uiPriority w:val="0"/>
    <w:rPr>
      <w:rFonts w:hint="default" w:ascii="方正仿宋简体" w:hAnsi="方正仿宋简体" w:eastAsia="方正仿宋简体" w:cs="方正仿宋简体"/>
      <w:b/>
      <w:bCs/>
      <w:color w:val="000000"/>
      <w:sz w:val="18"/>
      <w:szCs w:val="18"/>
      <w:u w:val="none"/>
    </w:rPr>
  </w:style>
  <w:style w:type="character" w:customStyle="1" w:styleId="40">
    <w:name w:val="font51"/>
    <w:basedOn w:val="16"/>
    <w:qFormat/>
    <w:uiPriority w:val="0"/>
    <w:rPr>
      <w:rFonts w:hint="default" w:ascii="方正仿宋简体" w:hAnsi="方正仿宋简体" w:eastAsia="方正仿宋简体" w:cs="方正仿宋简体"/>
      <w:color w:val="000000"/>
      <w:sz w:val="18"/>
      <w:szCs w:val="18"/>
      <w:u w:val="none"/>
    </w:rPr>
  </w:style>
  <w:style w:type="character" w:customStyle="1" w:styleId="41">
    <w:name w:val="font71"/>
    <w:basedOn w:val="16"/>
    <w:qFormat/>
    <w:uiPriority w:val="0"/>
    <w:rPr>
      <w:rFonts w:hint="default" w:ascii="Times New Roman" w:hAnsi="Times New Roman" w:cs="Times New Roman"/>
      <w:color w:val="000000"/>
      <w:sz w:val="18"/>
      <w:szCs w:val="18"/>
      <w:u w:val="none"/>
    </w:rPr>
  </w:style>
  <w:style w:type="character" w:customStyle="1" w:styleId="42">
    <w:name w:val="font61"/>
    <w:basedOn w:val="16"/>
    <w:qFormat/>
    <w:uiPriority w:val="0"/>
    <w:rPr>
      <w:rFonts w:hint="default" w:ascii="方正仿宋简体" w:hAnsi="方正仿宋简体" w:eastAsia="方正仿宋简体" w:cs="方正仿宋简体"/>
      <w:color w:val="000000"/>
      <w:sz w:val="16"/>
      <w:szCs w:val="16"/>
      <w:u w:val="none"/>
    </w:rPr>
  </w:style>
  <w:style w:type="character" w:customStyle="1" w:styleId="43">
    <w:name w:val="font112"/>
    <w:basedOn w:val="16"/>
    <w:qFormat/>
    <w:uiPriority w:val="0"/>
    <w:rPr>
      <w:rFonts w:hint="default" w:ascii="Times New Roman" w:hAnsi="Times New Roman" w:cs="Times New Roman"/>
      <w:color w:val="000000"/>
      <w:sz w:val="16"/>
      <w:szCs w:val="16"/>
      <w:u w:val="none"/>
    </w:rPr>
  </w:style>
  <w:style w:type="character" w:customStyle="1" w:styleId="44">
    <w:name w:val="font81"/>
    <w:basedOn w:val="16"/>
    <w:qFormat/>
    <w:uiPriority w:val="0"/>
    <w:rPr>
      <w:rFonts w:hint="default" w:ascii="方正仿宋简体" w:hAnsi="方正仿宋简体" w:eastAsia="方正仿宋简体" w:cs="方正仿宋简体"/>
      <w:color w:val="000000"/>
      <w:sz w:val="15"/>
      <w:szCs w:val="15"/>
      <w:u w:val="none"/>
    </w:rPr>
  </w:style>
  <w:style w:type="character" w:customStyle="1" w:styleId="45">
    <w:name w:val="font121"/>
    <w:basedOn w:val="16"/>
    <w:qFormat/>
    <w:uiPriority w:val="0"/>
    <w:rPr>
      <w:rFonts w:hint="default" w:ascii="Times New Roman" w:hAnsi="Times New Roman" w:cs="Times New Roman"/>
      <w:color w:val="000000"/>
      <w:sz w:val="15"/>
      <w:szCs w:val="15"/>
      <w:u w:val="none"/>
    </w:rPr>
  </w:style>
  <w:style w:type="character" w:customStyle="1" w:styleId="46">
    <w:name w:val="font131"/>
    <w:basedOn w:val="16"/>
    <w:qFormat/>
    <w:uiPriority w:val="0"/>
    <w:rPr>
      <w:rFonts w:hint="default" w:ascii="Times New Roman" w:hAnsi="Times New Roman" w:cs="Times New Roman"/>
      <w:color w:val="000000"/>
      <w:sz w:val="32"/>
      <w:szCs w:val="32"/>
      <w:u w:val="none"/>
    </w:rPr>
  </w:style>
  <w:style w:type="character" w:customStyle="1" w:styleId="47">
    <w:name w:val="font141"/>
    <w:basedOn w:val="16"/>
    <w:qFormat/>
    <w:uiPriority w:val="0"/>
    <w:rPr>
      <w:rFonts w:ascii="方正小标宋简体" w:hAnsi="方正小标宋简体" w:eastAsia="方正小标宋简体" w:cs="方正小标宋简体"/>
      <w:b/>
      <w:bCs/>
      <w:color w:val="000000"/>
      <w:sz w:val="32"/>
      <w:szCs w:val="32"/>
      <w:u w:val="none"/>
    </w:rPr>
  </w:style>
  <w:style w:type="character" w:customStyle="1" w:styleId="48">
    <w:name w:val="font21"/>
    <w:basedOn w:val="16"/>
    <w:qFormat/>
    <w:uiPriority w:val="0"/>
    <w:rPr>
      <w:rFonts w:hint="eastAsia" w:ascii="宋体" w:hAnsi="宋体" w:eastAsia="宋体" w:cs="宋体"/>
      <w:b/>
      <w:bCs/>
      <w:color w:val="000000"/>
      <w:sz w:val="15"/>
      <w:szCs w:val="15"/>
      <w:u w:val="none"/>
    </w:rPr>
  </w:style>
  <w:style w:type="character" w:customStyle="1" w:styleId="49">
    <w:name w:val="font161"/>
    <w:basedOn w:val="16"/>
    <w:qFormat/>
    <w:uiPriority w:val="0"/>
    <w:rPr>
      <w:rFonts w:hint="default" w:ascii="Times New Roman" w:hAnsi="Times New Roman" w:cs="Times New Roman"/>
      <w:b/>
      <w:bCs/>
      <w:color w:val="000000"/>
      <w:sz w:val="15"/>
      <w:szCs w:val="15"/>
      <w:u w:val="none"/>
    </w:rPr>
  </w:style>
  <w:style w:type="character" w:customStyle="1" w:styleId="50">
    <w:name w:val="font171"/>
    <w:basedOn w:val="16"/>
    <w:qFormat/>
    <w:uiPriority w:val="0"/>
    <w:rPr>
      <w:rFonts w:hint="eastAsia" w:ascii="宋体" w:hAnsi="宋体" w:eastAsia="宋体" w:cs="宋体"/>
      <w:color w:val="000000"/>
      <w:sz w:val="15"/>
      <w:szCs w:val="15"/>
      <w:u w:val="none"/>
    </w:rPr>
  </w:style>
  <w:style w:type="character" w:customStyle="1" w:styleId="51">
    <w:name w:val="font151"/>
    <w:basedOn w:val="16"/>
    <w:qFormat/>
    <w:uiPriority w:val="0"/>
    <w:rPr>
      <w:rFonts w:hint="eastAsia" w:ascii="宋体" w:hAnsi="宋体" w:eastAsia="宋体" w:cs="宋体"/>
      <w:color w:val="000000"/>
      <w:sz w:val="16"/>
      <w:szCs w:val="16"/>
      <w:u w:val="none"/>
    </w:rPr>
  </w:style>
  <w:style w:type="character" w:customStyle="1" w:styleId="52">
    <w:name w:val="font181"/>
    <w:basedOn w:val="16"/>
    <w:qFormat/>
    <w:uiPriority w:val="0"/>
    <w:rPr>
      <w:rFonts w:hint="eastAsia" w:ascii="宋体" w:hAnsi="宋体" w:eastAsia="宋体" w:cs="宋体"/>
      <w:b/>
      <w:bCs/>
      <w:color w:val="000000"/>
      <w:sz w:val="16"/>
      <w:szCs w:val="16"/>
      <w:u w:val="none"/>
    </w:rPr>
  </w:style>
  <w:style w:type="character" w:customStyle="1" w:styleId="53">
    <w:name w:val="font191"/>
    <w:basedOn w:val="16"/>
    <w:qFormat/>
    <w:uiPriority w:val="0"/>
    <w:rPr>
      <w:rFonts w:hint="default" w:ascii="Times New Roman" w:hAnsi="Times New Roman" w:cs="Times New Roman"/>
      <w:color w:val="000000"/>
      <w:sz w:val="15"/>
      <w:szCs w:val="15"/>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image" Target="media/image1.emf"/><Relationship Id="rId7" Type="http://schemas.openxmlformats.org/officeDocument/2006/relationships/oleObject" Target="embeddings/Workbook1.xls"/><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2.emf"/><Relationship Id="rId13" Type="http://schemas.openxmlformats.org/officeDocument/2006/relationships/oleObject" Target="embeddings/Workbook2.xls"/><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AppData\Local\Temp\wps.jivrho\Workbook4.xlsx"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ASUS\AppData\Local\Temp\wps.jivrho\Workbook4.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金额（万元）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2021年收入</c:v>
                </c:pt>
                <c:pt idx="1">
                  <c:v>2022年收入</c:v>
                </c:pt>
                <c:pt idx="2">
                  <c:v>2021年支出</c:v>
                </c:pt>
                <c:pt idx="3">
                  <c:v>2022年支出</c:v>
                </c:pt>
              </c:strCache>
            </c:strRef>
          </c:cat>
          <c:val>
            <c:numRef>
              <c:f>Sheet1!$B$2:$B$5</c:f>
              <c:numCache>
                <c:formatCode>General</c:formatCode>
                <c:ptCount val="4"/>
                <c:pt idx="0">
                  <c:v>506.79</c:v>
                </c:pt>
                <c:pt idx="1">
                  <c:v>527.58</c:v>
                </c:pt>
                <c:pt idx="2">
                  <c:v>506.79</c:v>
                </c:pt>
                <c:pt idx="3">
                  <c:v>527.58</c:v>
                </c:pt>
              </c:numCache>
            </c:numRef>
          </c:val>
        </c:ser>
        <c:dLbls>
          <c:showLegendKey val="0"/>
          <c:showVal val="1"/>
          <c:showCatName val="0"/>
          <c:showSerName val="0"/>
          <c:showPercent val="0"/>
          <c:showBubbleSize val="0"/>
        </c:dLbls>
        <c:gapWidth val="75"/>
        <c:overlap val="-25"/>
        <c:axId val="123435648"/>
        <c:axId val="170466304"/>
      </c:barChart>
      <c:catAx>
        <c:axId val="123435648"/>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0466304"/>
        <c:crosses val="autoZero"/>
        <c:auto val="1"/>
        <c:lblAlgn val="ctr"/>
        <c:lblOffset val="100"/>
        <c:noMultiLvlLbl val="0"/>
      </c:catAx>
      <c:valAx>
        <c:axId val="17046630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34356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Sheet1!$B$1:$C$1</c:f>
              <c:strCache>
                <c:ptCount val="1"/>
                <c:pt idx="0">
                  <c:v>列2</c:v>
                </c:pt>
              </c:strCache>
            </c:strRef>
          </c:tx>
          <c:spPr>
            <a:solidFill>
              <a:srgbClr val="63B1EF">
                <a:alpha val="67000"/>
              </a:srgbClr>
            </a:solidFill>
            <a:ln w="19050" cap="rnd">
              <a:noFill/>
              <a:round/>
            </a:ln>
            <a:effectLst/>
          </c:spPr>
          <c:explosion val="0"/>
          <c:dPt>
            <c:idx val="0"/>
            <c:bubble3D val="0"/>
            <c:spPr>
              <a:solidFill>
                <a:srgbClr val="63B1EF">
                  <a:alpha val="67000"/>
                </a:srgbClr>
              </a:solidFill>
              <a:ln w="19050" cap="rnd">
                <a:noFill/>
                <a:round/>
              </a:ln>
              <a:effectLst/>
            </c:spPr>
          </c:dPt>
          <c:dPt>
            <c:idx val="1"/>
            <c:bubble3D val="0"/>
            <c:spPr>
              <a:solidFill>
                <a:srgbClr val="75D890">
                  <a:alpha val="67000"/>
                </a:srgbClr>
              </a:solidFill>
              <a:ln w="19050" cap="rnd">
                <a:noFill/>
                <a:round/>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0.9422</c:v>
                </c:pt>
                <c:pt idx="1">
                  <c:v>0.0578</c:v>
                </c:pt>
              </c:numCache>
            </c:numRef>
          </c:val>
        </c:ser>
        <c:dLbls>
          <c:showLegendKey val="0"/>
          <c:showVal val="0"/>
          <c:showCatName val="1"/>
          <c:showSerName val="0"/>
          <c:showPercent val="1"/>
          <c:showBubbleSize val="0"/>
          <c:showLeaderLines val="1"/>
        </c:dLbls>
        <c:firstSliceAng val="0"/>
      </c:pieChart>
      <c:spPr>
        <a:pattFill prst="lgGrid">
          <a:fgClr>
            <a:srgbClr val="F8F8F8"/>
          </a:fgClr>
          <a:bgClr>
            <a:schemeClr val="bg1"/>
          </a:bgClr>
        </a:pattFill>
        <a:ln>
          <a:solidFill>
            <a:schemeClr val="bg1">
              <a:lumMod val="95000"/>
            </a:schemeClr>
          </a:solid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a:lstStyle/>
    <a:p>
      <a:pPr>
        <a:defRPr lang="zh-CN">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金额（万元）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2021年收入</c:v>
                </c:pt>
                <c:pt idx="1">
                  <c:v>2022年收入</c:v>
                </c:pt>
                <c:pt idx="2">
                  <c:v>2021年支出</c:v>
                </c:pt>
                <c:pt idx="3">
                  <c:v>2022年支出</c:v>
                </c:pt>
              </c:strCache>
            </c:strRef>
          </c:cat>
          <c:val>
            <c:numRef>
              <c:f>Sheet1!$B$2:$B$5</c:f>
              <c:numCache>
                <c:formatCode>General</c:formatCode>
                <c:ptCount val="4"/>
                <c:pt idx="0">
                  <c:v>506.79</c:v>
                </c:pt>
                <c:pt idx="1">
                  <c:v>527.58</c:v>
                </c:pt>
                <c:pt idx="2">
                  <c:v>506.79</c:v>
                </c:pt>
                <c:pt idx="3">
                  <c:v>527.58</c:v>
                </c:pt>
              </c:numCache>
            </c:numRef>
          </c:val>
        </c:ser>
        <c:dLbls>
          <c:showLegendKey val="0"/>
          <c:showVal val="1"/>
          <c:showCatName val="0"/>
          <c:showSerName val="0"/>
          <c:showPercent val="0"/>
          <c:showBubbleSize val="0"/>
        </c:dLbls>
        <c:gapWidth val="75"/>
        <c:overlap val="-25"/>
        <c:axId val="124694912"/>
        <c:axId val="124697600"/>
      </c:barChart>
      <c:catAx>
        <c:axId val="124694912"/>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4697600"/>
        <c:crosses val="autoZero"/>
        <c:auto val="1"/>
        <c:lblAlgn val="ctr"/>
        <c:lblOffset val="100"/>
        <c:noMultiLvlLbl val="0"/>
      </c:catAx>
      <c:valAx>
        <c:axId val="124697600"/>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46949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金额(万元)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2021年支出</c:v>
                </c:pt>
                <c:pt idx="1">
                  <c:v>2022年支出</c:v>
                </c:pt>
              </c:strCache>
            </c:strRef>
          </c:cat>
          <c:val>
            <c:numRef>
              <c:f>Sheet1!$B$2:$B$3</c:f>
              <c:numCache>
                <c:formatCode>General</c:formatCode>
                <c:ptCount val="2"/>
                <c:pt idx="0">
                  <c:v>506.79</c:v>
                </c:pt>
                <c:pt idx="1">
                  <c:v>527.58</c:v>
                </c:pt>
              </c:numCache>
            </c:numRef>
          </c:val>
        </c:ser>
        <c:dLbls>
          <c:showLegendKey val="0"/>
          <c:showVal val="1"/>
          <c:showCatName val="0"/>
          <c:showSerName val="0"/>
          <c:showPercent val="0"/>
          <c:showBubbleSize val="0"/>
        </c:dLbls>
        <c:gapWidth val="219"/>
        <c:overlap val="-27"/>
        <c:axId val="124738944"/>
        <c:axId val="120443648"/>
      </c:barChart>
      <c:catAx>
        <c:axId val="12473894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0443648"/>
        <c:crosses val="autoZero"/>
        <c:auto val="1"/>
        <c:lblAlgn val="ctr"/>
        <c:lblOffset val="100"/>
        <c:noMultiLvlLbl val="0"/>
      </c:catAx>
      <c:valAx>
        <c:axId val="120443648"/>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4738944"/>
        <c:crosses val="autoZero"/>
        <c:crossBetween val="between"/>
      </c:valAx>
      <c:spPr>
        <a:noFill/>
        <a:ln>
          <a:noFill/>
        </a:ln>
        <a:effectLst/>
      </c:spPr>
    </c:plotArea>
    <c:legend>
      <c:legendPos val="b"/>
      <c:layout>
        <c:manualLayout>
          <c:xMode val="edge"/>
          <c:yMode val="edge"/>
          <c:x val="0.481625"/>
          <c:y val="0.93866666666666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列1</c:v>
                </c:pt>
              </c:strCache>
            </c:strRef>
          </c:tx>
          <c:spPr>
            <a:solidFill>
              <a:srgbClr val="63B1EF">
                <a:alpha val="67000"/>
              </a:srgbClr>
            </a:solidFill>
            <a:ln w="19050" cap="rnd">
              <a:noFill/>
              <a:round/>
            </a:ln>
            <a:effectLst/>
          </c:spPr>
          <c:explosion val="0"/>
          <c:dPt>
            <c:idx val="0"/>
            <c:bubble3D val="0"/>
            <c:spPr>
              <a:solidFill>
                <a:srgbClr val="63B1EF">
                  <a:alpha val="67000"/>
                </a:srgbClr>
              </a:solidFill>
              <a:ln w="19050" cap="rnd">
                <a:noFill/>
                <a:round/>
              </a:ln>
              <a:effectLst/>
            </c:spPr>
          </c:dPt>
          <c:dPt>
            <c:idx val="1"/>
            <c:bubble3D val="0"/>
            <c:spPr>
              <a:solidFill>
                <a:srgbClr val="75D890">
                  <a:alpha val="67000"/>
                </a:srgbClr>
              </a:solidFill>
              <a:ln w="19050" cap="rnd">
                <a:noFill/>
                <a:round/>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社会保障和就业支出</c:v>
                </c:pt>
                <c:pt idx="1">
                  <c:v>卫生健康支出</c:v>
                </c:pt>
              </c:strCache>
            </c:strRef>
          </c:cat>
          <c:val>
            <c:numRef>
              <c:f>Sheet1!$B$2:$B$3</c:f>
              <c:numCache>
                <c:formatCode>General</c:formatCode>
                <c:ptCount val="2"/>
                <c:pt idx="0">
                  <c:v>0.87</c:v>
                </c:pt>
                <c:pt idx="1">
                  <c:v>99.13</c:v>
                </c:pt>
              </c:numCache>
            </c:numRef>
          </c:val>
        </c:ser>
        <c:dLbls>
          <c:showLegendKey val="0"/>
          <c:showVal val="0"/>
          <c:showCatName val="1"/>
          <c:showSerName val="0"/>
          <c:showPercent val="1"/>
          <c:showBubbleSize val="0"/>
          <c:showLeaderLines val="0"/>
        </c:dLbls>
        <c:firstSliceAng val="0"/>
      </c:pieChart>
      <c:spPr>
        <a:pattFill prst="lgGrid">
          <a:fgClr>
            <a:srgbClr val="F8F8F8"/>
          </a:fgClr>
          <a:bgClr>
            <a:schemeClr val="bg1"/>
          </a:bgClr>
        </a:pattFill>
        <a:ln>
          <a:solidFill>
            <a:schemeClr val="bg1">
              <a:lumMod val="95000"/>
            </a:schemeClr>
          </a:solidFill>
        </a:ln>
        <a:effectLst/>
      </c:spPr>
    </c:plotArea>
    <c:legend>
      <c:legendPos val="b"/>
      <c:layout>
        <c:manualLayout>
          <c:xMode val="edge"/>
          <c:yMode val="edge"/>
          <c:x val="0.3031875"/>
          <c:y val="0.8872426900584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a:lstStyle/>
    <a:p>
      <a:pPr>
        <a:defRPr lang="zh-CN">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Company>四川省财政厅</Company>
  <Pages>59</Pages>
  <Words>3455</Words>
  <Characters>19698</Characters>
  <Lines>164</Lines>
  <Paragraphs>46</Paragraphs>
  <TotalTime>7</TotalTime>
  <ScaleCrop>false</ScaleCrop>
  <LinksUpToDate>false</LinksUpToDate>
  <CharactersWithSpaces>23107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德</cp:lastModifiedBy>
  <cp:lastPrinted>2023-08-31T07:19:00Z</cp:lastPrinted>
  <dcterms:modified xsi:type="dcterms:W3CDTF">2023-08-31T08:17:16Z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F42FC3EC5E4848BBB1E60B241FD9E49F_12</vt:lpwstr>
  </property>
</Properties>
</file>