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</w:rPr>
        <w:t>附件</w:t>
      </w:r>
    </w:p>
    <w:tbl>
      <w:tblPr>
        <w:tblStyle w:val="5"/>
        <w:tblpPr w:leftFromText="180" w:rightFromText="180" w:vertAnchor="text" w:horzAnchor="page" w:tblpX="1674" w:tblpY="22"/>
        <w:tblOverlap w:val="never"/>
        <w:tblW w:w="92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33"/>
        <w:gridCol w:w="940"/>
        <w:gridCol w:w="456"/>
        <w:gridCol w:w="2693"/>
        <w:gridCol w:w="649"/>
        <w:gridCol w:w="2328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450" w:hRule="atLeast"/>
        </w:trPr>
        <w:tc>
          <w:tcPr>
            <w:tcW w:w="8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2160" w:firstLineChars="600"/>
              <w:rPr>
                <w:rFonts w:eastAsia="黑体"/>
                <w:color w:val="000000"/>
                <w:sz w:val="36"/>
                <w:szCs w:val="36"/>
              </w:rPr>
            </w:pPr>
            <w:r>
              <w:rPr>
                <w:rFonts w:eastAsia="黑体"/>
                <w:color w:val="000000"/>
                <w:sz w:val="36"/>
                <w:szCs w:val="36"/>
              </w:rPr>
              <w:t>部门整体支出绩效评价指标体系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评价内容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评价标准及计算方法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hint="eastAsia" w:eastAsia="方正仿宋简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bookmarkStart w:id="0" w:name="_GoBack" w:colFirst="4" w:colLast="4"/>
            <w:r>
              <w:rPr>
                <w:rFonts w:eastAsia="方正仿宋简体"/>
                <w:color w:val="000000"/>
                <w:sz w:val="18"/>
                <w:szCs w:val="18"/>
              </w:rPr>
              <w:t>基础工作管理（15分）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组织机构完善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岗位设置合理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成立各种相应的组织机构及机构合理性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成立相应组织机构、内控岗位设置合理得2分，组织机构不健全、内控岗位设置不合理相应扣分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2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内控制度建立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包括制定财政资金管理办法、内控制度，会计核算制度等管理制度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管理制度完善2分，制度不够完善相应扣分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部门制定的管理制度合法、合规、完整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制度合法、合规、完整2分，反之相应扣分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内控制度执行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部门制定的内控制度得到有效执行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有效执行2分，未能有效执行相应扣分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指标体系完善程度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部门制定的项目预算支出评价个性指标体系健全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个性指标体系健全2分，指标体系不够健全相应扣分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部门对绩效评价工作开展的宣传培训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开展了宣传培训1分，未能开展宣传培训相应扣分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会计核算及时，日清月结的得1分，核算不及时的相应扣分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会计核算规范、科目使用准确、原始发票及附件充分、分项目核算的得2分，否则相应扣分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会计档案整理规范的得1分，不规范的相应扣分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绩效目标管理（10分）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绩效目标合理性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绩效目标管理符合国家法律法规、国民经济和社会发展总体规划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绩效目标符合相关法规和总体规划1分，绩效目标不够合理的相应扣分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与工作衔接度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绩效目标符合部门“三定”方案确定的职责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绩效目标符合部分“三定”方案1分，不符合相应扣分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与中长期规划衔接度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绩效目标符合部门制定的中长期规划1分，不符合相应扣分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部门绩效目标覆盖率达到年度预算布置的要求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绩效目标覆盖率＝实际申报绩效目标项目资金额/部门项目预算资金总额×100%。每低于10个百分点扣1分，扣完为止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绩效指标明确性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绩效指标完整性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绩效目标申报表的填写完整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申报表填写完整1分，不完整相应扣分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绩效指标操作性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绩效指标设置清晰、可衡量1分，反之相应扣分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与预算资金匹配度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绩效指标与本年度部门预算资金相匹配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绩效指标与资金相匹配1分，不完全匹配相应扣分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绩效运行监控（15分）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部门预算支出完成率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部门预算支出完成程度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预算完成率＝[年度支出完成数/年度支出预算数（含调整预算及结转结余）]×100%。跨年度项目按工程进度或平均年度额分析计算。预算完成率90%及以上的得2分。每低于要求5个百分点扣1分，扣完为止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部门预算项目执行率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部门项目预算执行调整程度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项目预算执行率＝[年度项目实际支出数/项目预算数（含调整预算及结转结余）]×100%。跨年度项目按工程进度或平均年度额分析计算。预算执行偏差度在10%以内的得2分，每超过5个百分点扣1分，扣完为止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180" w:firstLineChars="100"/>
              <w:rPr>
                <w:rFonts w:hint="default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政府采购监管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预算执行率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部门政府采购预算执行情况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政府采购执行率=[实际政府采购金额/政府采购预算数（含调整预算）]×100%。政府采购预算执行偏差度在10%以内的得1分，超过的不得分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财政审批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部门政府采购财政审批情况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应政府采购未采购的每发生一起扣0.5分，扣完该项得分为止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部门政府采购合规性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存在政府采购违规行为的该项不得分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三公经费控制率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三公经费控制率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部门“三公经费”控制程度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“三公经费”控制率＝（“三公经费”实际支出数/“三公经费”预算数）×100%。“三公经费”控制率≤100%的得3分，每高于要求2个百分点扣1分，扣完为止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资产管理信息系统建设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部门资产管理信息系统建设情况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考核部门和单位将国有资产纳入资产信息系统管理情况,已建好部门资产管理信息系统得1分，未建好不得分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资产清核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部门资产清理核实开展情况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考核部门和单位已按要求及时、真实、准确、全面开展资产清查、核实情况得1分，反之不得分；账实不合的按比例扣分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日常管理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部门资产登记、上报及管理情况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考核部门和单位已经对国有资产登记、上报，并出台管理办法、制度等措施得1分，差项按比例得分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预决算信息公开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按规定内容、时限公开预算信息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按规定公开预算信息得1分，未按规定公开相应扣减分数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决算信息公开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按规定内容、时限公开决算信息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按规定公开决算信息得1分，未按规定公开相应扣减分数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6"/>
                <w:szCs w:val="16"/>
              </w:rPr>
            </w:pPr>
            <w:r>
              <w:rPr>
                <w:rFonts w:eastAsia="方正仿宋简体"/>
                <w:color w:val="000000"/>
                <w:sz w:val="16"/>
                <w:szCs w:val="16"/>
              </w:rPr>
              <w:t>绩效评价实施（15分）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部门项目自评率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部门项目自评率　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部门实施绩效评价项目覆盖情况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项目自评率＝自评项目数/项目总数×100%。按项目自评率得分（部门整体支出自评中列示项目的视为已自评）。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180" w:firstLineChars="100"/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资金评价覆盖率  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资金评价覆盖率  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部门绩效评价项目资金覆盖情况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项目资金覆盖率=实施绩效评价项目资金额/部门项目预算资金总额×100%。绩效评价资金覆盖率100%得5分；每低于要求10个百分点扣1分，扣完为止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评价质量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评价质量 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部门绩效评价质量情况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根据评价工作开展情况、评价报告质量、资料收集情况等综合评分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评价结果应用　　（15分）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按《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南江县县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级预算绩效信息公开规程》规定公开绩效信息的得3分，未按规定公开相应扣分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上年绩效评价发现的问题全面整改到位的得3分，没有全面整改到位的按比例得分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各级巡视巡察、纪检监察、审计、财政监督检查等发现问题全面整改到位的得3分，没有全面整改到位的按比例得分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绩效问责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按规定实施绩效问责得3分，未按规定实施绩效问责相应扣分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根据绩效评价结果调整下年项目及金额情况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根据上年度绩效评价结果调整下年度项目及金额的得3分，未按规定调整的相应扣分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项目支出绩效管理（30分）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项目支出绩效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部门实施项目支出评价情况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按百分制形成的项目支出绩效评价分数换算成此项指标得分。有两个及以上专项预算项目的，以平均分作为得分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绩效管理创新(+5分)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管理制度创新　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在绩效管理制度有创新或者发表相关研究文章的相应得分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工作推进创新　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在工作推进中有创新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在推进自我评价、配合重点评价、完善个性指标体系方面的创新的相应得分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监督发现问题 (-5分)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违规问题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部门或个人存在违反财政监督管理等情况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各级巡视巡察、纪检监察、审计、财政监督检查等发现财政管理问题的，每发现一类问题扣1分（多个部门发现的同类问题不重复扣分），涉及金额或社会影响较大的扣2-5分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扣分项（-5分）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被评价单位配合评价工作情况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财政重点评价过程中，发现评价对像拖延推诿、提交资料不及时等不配合评价工作的，经报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财政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确认后每次扣1分，最高扣5分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评价结论</w:t>
            </w:r>
          </w:p>
        </w:tc>
        <w:tc>
          <w:tcPr>
            <w:tcW w:w="7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总评分（Ｘ）　优秀（Ｘ≥90分)　良好（90＞Ｘ≥75分）合格（75分＞Ｘ≥60分）　不合格（Ｘ＜60）分）</w:t>
            </w:r>
          </w:p>
        </w:tc>
      </w:tr>
    </w:tbl>
    <w:p>
      <w:pPr>
        <w:rPr>
          <w:rFonts w:eastAsia="黑体"/>
        </w:rPr>
      </w:pPr>
    </w:p>
    <w:p>
      <w:pPr>
        <w:pStyle w:val="3"/>
        <w:rPr>
          <w:rFonts w:eastAsia="方正仿宋简体"/>
        </w:rPr>
      </w:pPr>
    </w:p>
    <w:p>
      <w:pPr>
        <w:spacing w:line="580" w:lineRule="exact"/>
        <w:rPr>
          <w:rFonts w:eastAsia="方正仿宋简体"/>
        </w:rPr>
      </w:pPr>
    </w:p>
    <w:p/>
    <w:sectPr>
      <w:pgSz w:w="11906" w:h="16838"/>
      <w:pgMar w:top="2098" w:right="1361" w:bottom="1814" w:left="1644" w:header="851" w:footer="170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OTAwMTkwYzAzZTEwNmIwNDgwNTJjNzRkOThjMDMifQ=="/>
  </w:docVars>
  <w:rsids>
    <w:rsidRoot w:val="0DD12363"/>
    <w:rsid w:val="081379AC"/>
    <w:rsid w:val="0DD12363"/>
    <w:rsid w:val="191D2779"/>
    <w:rsid w:val="2C9022DF"/>
    <w:rsid w:val="359F1145"/>
    <w:rsid w:val="4EA760D2"/>
    <w:rsid w:val="4F487E1D"/>
    <w:rsid w:val="4F75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eastAsia="仿宋"/>
      <w:sz w:val="32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eastAsia="仿宋"/>
      <w:kern w:val="0"/>
    </w:rPr>
  </w:style>
  <w:style w:type="paragraph" w:styleId="4">
    <w:name w:val="toc 5"/>
    <w:basedOn w:val="1"/>
    <w:next w:val="1"/>
    <w:qFormat/>
    <w:uiPriority w:val="99"/>
    <w:pPr>
      <w:ind w:left="1680" w:leftChars="800"/>
    </w:pPr>
    <w:rPr>
      <w:rFonts w:ascii="Times New Roman" w:hAnsi="Times New Roman" w:eastAsia="方正仿宋_GBK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2740</Words>
  <Characters>2820</Characters>
  <Lines>0</Lines>
  <Paragraphs>0</Paragraphs>
  <TotalTime>22</TotalTime>
  <ScaleCrop>false</ScaleCrop>
  <LinksUpToDate>false</LinksUpToDate>
  <CharactersWithSpaces>2884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2022-07-25T08:05:00Z</dcterms:created>
  <dc:creator>Administrator</dc:creator>
  <cp:lastModifiedBy>Administrator</cp:lastModifiedBy>
  <dcterms:modified xsi:type="dcterms:W3CDTF">2023-06-27T09:03:19Z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33D2C156E50E4F68991B2A275482A916</vt:lpwstr>
  </property>
</Properties>
</file>