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textAlignment w:val="auto"/>
      </w:pPr>
    </w:p>
    <w:p/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南江县2020年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“三公”经费执行情况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"/>
        </w:rPr>
        <w:t>根据《中华人民共和国预算法》和《国务院关于深化预算管理制度改革的决定》（国发〔2014〕45号）的有关规定，2020年南江县使用财政拨款安排“三公”经费执行情况为1244万元，较2019年的1283万元减少39万元，下降 3.04%。其中：公务出国（境）经费2万元，同比减少11万元，下降84.6%；公务接待费390万元，同比减少32万元，下降7.6%；公务用车购置及运行维护费852万元。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"/>
        </w:rPr>
        <w:t>2020年全县“三公”经费预算略有下降的原因主要是：各部门（单位）严格贯彻落实中央八项规定和省委、省政府十项及市委、市政府九项规定有关精神，认真贯彻落实国务院“约法三章”，严格执行厉行节约反对铺张浪费各项政策，厉行勤俭节约，坚决执行压减一般性支出要求，从严控制“三公”经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8C5A6B"/>
    <w:rsid w:val="43D1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2022-09-02T01:29:00Z</dcterms:created>
  <dc:creator>Administrator</dc:creator>
  <cp:lastModifiedBy>Administrator</cp:lastModifiedBy>
  <dcterms:modified xsi:type="dcterms:W3CDTF">2022-09-02T01:39:00Z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