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2"/>
          <w:rFonts w:hint="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spacing w:line="700" w:lineRule="exact"/>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ascii="方正小标宋简体" w:hAnsi="宋体" w:eastAsia="方正小标宋简体"/>
          <w:b/>
          <w:color w:val="000000"/>
          <w:sz w:val="72"/>
          <w:szCs w:val="72"/>
        </w:rPr>
      </w:pPr>
      <w:bookmarkStart w:id="0" w:name="_Toc15377425"/>
      <w:bookmarkStart w:id="1" w:name="_Toc15396597"/>
      <w:bookmarkStart w:id="2" w:name="_Toc15378441"/>
      <w:bookmarkStart w:id="3" w:name="_Toc15377193"/>
      <w:bookmarkStart w:id="4" w:name="_Toc15396475"/>
      <w:r>
        <w:rPr>
          <w:rFonts w:hint="eastAsia" w:ascii="方正小标宋简体" w:hAnsi="黑体" w:eastAsia="方正小标宋简体"/>
          <w:b/>
          <w:color w:val="000000"/>
          <w:sz w:val="72"/>
          <w:szCs w:val="72"/>
        </w:rPr>
        <w:t>20</w:t>
      </w:r>
      <w:r>
        <w:rPr>
          <w:rFonts w:hint="eastAsia" w:ascii="方正小标宋简体" w:hAnsi="黑体" w:eastAsia="方正小标宋简体"/>
          <w:b/>
          <w:color w:val="000000"/>
          <w:sz w:val="72"/>
          <w:szCs w:val="72"/>
          <w:lang w:val="en-US" w:eastAsia="zh-CN"/>
        </w:rPr>
        <w:t>21</w:t>
      </w:r>
      <w:r>
        <w:rPr>
          <w:rFonts w:hint="eastAsia" w:ascii="方正小标宋简体" w:hAnsi="宋体" w:eastAsia="方正小标宋简体"/>
          <w:b/>
          <w:color w:val="000000"/>
          <w:sz w:val="72"/>
          <w:szCs w:val="72"/>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ascii="方正小标宋简体" w:hAnsi="宋体" w:eastAsia="方正小标宋简体"/>
          <w:b/>
          <w:color w:val="000000"/>
          <w:sz w:val="72"/>
          <w:szCs w:val="72"/>
        </w:rPr>
      </w:pPr>
      <w:bookmarkStart w:id="5" w:name="_Toc15378442"/>
      <w:bookmarkStart w:id="6" w:name="_Toc15377194"/>
      <w:bookmarkStart w:id="7" w:name="_Toc15396476"/>
      <w:bookmarkStart w:id="8" w:name="_Toc15377426"/>
      <w:bookmarkStart w:id="9" w:name="_Toc15396598"/>
      <w:r>
        <w:rPr>
          <w:rFonts w:hint="eastAsia" w:ascii="方正小标宋简体" w:hAnsi="宋体" w:eastAsia="方正小标宋简体"/>
          <w:b/>
          <w:color w:val="000000"/>
          <w:sz w:val="72"/>
          <w:szCs w:val="72"/>
        </w:rPr>
        <w:t>南江县</w:t>
      </w:r>
      <w:bookmarkStart w:id="10" w:name="_Toc15306268"/>
      <w:r>
        <w:rPr>
          <w:rFonts w:hint="eastAsia" w:ascii="方正小标宋简体" w:hAnsi="宋体" w:eastAsia="方正小标宋简体"/>
          <w:b/>
          <w:color w:val="000000"/>
          <w:sz w:val="72"/>
          <w:szCs w:val="72"/>
        </w:rPr>
        <w:t>部门决算</w:t>
      </w:r>
      <w:bookmarkEnd w:id="5"/>
      <w:bookmarkEnd w:id="6"/>
      <w:bookmarkEnd w:id="7"/>
      <w:bookmarkEnd w:id="8"/>
      <w:bookmarkEnd w:id="9"/>
      <w:bookmarkEnd w:id="10"/>
      <w:r>
        <w:rPr>
          <w:rFonts w:hint="eastAsia" w:ascii="方正小标宋简体" w:hAnsi="宋体" w:eastAsia="方正小标宋简体"/>
          <w:b/>
          <w:color w:val="000000"/>
          <w:sz w:val="72"/>
          <w:szCs w:val="72"/>
        </w:rPr>
        <w:t>编制说明</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方正小标宋简体" w:hAnsi="宋体" w:eastAsia="方正小标宋简体"/>
          <w:b/>
          <w:color w:val="000000"/>
          <w:sz w:val="52"/>
          <w:szCs w:val="52"/>
        </w:rPr>
      </w:pPr>
    </w:p>
    <w:p>
      <w:pPr>
        <w:pageBreakBefore w:val="0"/>
        <w:kinsoku/>
        <w:wordWrap/>
        <w:overflowPunct/>
        <w:topLinePunct w:val="0"/>
        <w:bidi w:val="0"/>
        <w:adjustRightInd w:val="0"/>
        <w:snapToGrid w:val="0"/>
        <w:spacing w:line="520" w:lineRule="exact"/>
        <w:jc w:val="center"/>
        <w:outlineLvl w:val="0"/>
        <w:rPr>
          <w:rFonts w:ascii="方正小标宋简体" w:hAnsi="宋体" w:eastAsia="方正小标宋简体"/>
          <w:b/>
          <w:color w:val="000000"/>
          <w:sz w:val="52"/>
          <w:szCs w:val="52"/>
        </w:rPr>
      </w:pPr>
    </w:p>
    <w:p>
      <w:pPr>
        <w:pageBreakBefore w:val="0"/>
        <w:kinsoku/>
        <w:wordWrap/>
        <w:overflowPunct/>
        <w:topLinePunct w:val="0"/>
        <w:bidi w:val="0"/>
        <w:adjustRightInd w:val="0"/>
        <w:snapToGrid w:val="0"/>
        <w:spacing w:line="520" w:lineRule="exact"/>
        <w:jc w:val="center"/>
        <w:outlineLvl w:val="0"/>
        <w:rPr>
          <w:rFonts w:ascii="方正小标宋简体" w:hAnsi="宋体" w:eastAsia="方正小标宋简体"/>
          <w:b/>
          <w:color w:val="000000"/>
          <w:sz w:val="52"/>
          <w:szCs w:val="52"/>
        </w:rPr>
      </w:pPr>
    </w:p>
    <w:p>
      <w:pPr>
        <w:pageBreakBefore w:val="0"/>
        <w:kinsoku/>
        <w:wordWrap/>
        <w:overflowPunct/>
        <w:topLinePunct w:val="0"/>
        <w:bidi w:val="0"/>
        <w:adjustRightInd w:val="0"/>
        <w:snapToGrid w:val="0"/>
        <w:spacing w:line="520" w:lineRule="exact"/>
        <w:jc w:val="center"/>
        <w:outlineLvl w:val="0"/>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中共南江县委政法委员会</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11" w:name="_Toc15396599"/>
      <w:bookmarkStart w:id="12" w:name="_Toc15377196"/>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8</w:t>
      </w:r>
      <w:r>
        <w:rPr>
          <w:rFonts w:hint="eastAsia"/>
        </w:rPr>
        <w:t xml:space="preserve"> 日</w:t>
      </w:r>
    </w:p>
    <w:p/>
    <w:p>
      <w:pPr>
        <w:pStyle w:val="7"/>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pPr>
        <w:pStyle w:val="8"/>
        <w:adjustRightInd w:val="0"/>
        <w:snapToGrid w:val="0"/>
        <w:spacing w:line="440" w:lineRule="exact"/>
        <w:jc w:val="left"/>
        <w:rPr>
          <w:rFonts w:ascii="仿宋" w:hAnsi="仿宋" w:eastAsia="仿宋"/>
          <w:sz w:val="24"/>
        </w:rPr>
      </w:pPr>
      <w:r>
        <w:rPr>
          <w:rFonts w:hint="eastAsia"/>
          <w:sz w:val="24"/>
        </w:rPr>
        <w:t>一、基本职能及主要工作</w:t>
      </w:r>
    </w:p>
    <w:p>
      <w:pPr>
        <w:pStyle w:val="8"/>
        <w:adjustRightInd w:val="0"/>
        <w:snapToGrid w:val="0"/>
        <w:spacing w:line="440" w:lineRule="exact"/>
        <w:jc w:val="left"/>
        <w:rPr>
          <w:rFonts w:ascii="仿宋" w:hAnsi="仿宋" w:eastAsia="仿宋"/>
          <w:sz w:val="24"/>
        </w:rPr>
      </w:pPr>
      <w:r>
        <w:rPr>
          <w:rFonts w:hint="eastAsia"/>
          <w:sz w:val="24"/>
        </w:rPr>
        <w:t>二、机构设置</w:t>
      </w:r>
    </w:p>
    <w:p>
      <w:pPr>
        <w:pStyle w:val="7"/>
        <w:adjustRightInd w:val="0"/>
        <w:snapToGrid w:val="0"/>
        <w:spacing w:before="0" w:line="440" w:lineRule="exact"/>
        <w:jc w:val="left"/>
        <w:rPr>
          <w:sz w:val="24"/>
          <w:szCs w:val="24"/>
        </w:rPr>
      </w:pPr>
      <w:r>
        <w:rPr>
          <w:rFonts w:hint="eastAsia"/>
          <w:sz w:val="24"/>
        </w:rPr>
        <w:t>第二部分度部门决算情况说明</w:t>
      </w:r>
    </w:p>
    <w:p>
      <w:pPr>
        <w:pStyle w:val="8"/>
        <w:adjustRightInd w:val="0"/>
        <w:snapToGrid w:val="0"/>
        <w:spacing w:line="440" w:lineRule="exact"/>
        <w:jc w:val="left"/>
        <w:rPr>
          <w:rFonts w:ascii="仿宋" w:hAnsi="仿宋" w:eastAsia="仿宋"/>
          <w:sz w:val="24"/>
        </w:rPr>
      </w:pPr>
      <w:r>
        <w:rPr>
          <w:rFonts w:hint="eastAsia"/>
          <w:sz w:val="24"/>
        </w:rPr>
        <w:t>一、收入支出决算总体情况说明</w:t>
      </w:r>
    </w:p>
    <w:p>
      <w:pPr>
        <w:pStyle w:val="8"/>
        <w:adjustRightInd w:val="0"/>
        <w:snapToGrid w:val="0"/>
        <w:spacing w:line="440" w:lineRule="exact"/>
        <w:jc w:val="left"/>
        <w:rPr>
          <w:rFonts w:ascii="仿宋" w:hAnsi="仿宋" w:eastAsia="仿宋"/>
          <w:sz w:val="24"/>
        </w:rPr>
      </w:pPr>
      <w:r>
        <w:rPr>
          <w:rFonts w:hint="eastAsia"/>
          <w:sz w:val="24"/>
        </w:rPr>
        <w:t>二、收入决算情况说明</w:t>
      </w:r>
    </w:p>
    <w:p>
      <w:pPr>
        <w:pStyle w:val="8"/>
        <w:adjustRightInd w:val="0"/>
        <w:snapToGrid w:val="0"/>
        <w:spacing w:line="440" w:lineRule="exact"/>
        <w:jc w:val="left"/>
        <w:rPr>
          <w:rFonts w:ascii="仿宋" w:hAnsi="仿宋" w:eastAsia="仿宋"/>
          <w:sz w:val="24"/>
        </w:rPr>
      </w:pPr>
      <w:r>
        <w:rPr>
          <w:rFonts w:hint="eastAsia"/>
          <w:sz w:val="24"/>
        </w:rPr>
        <w:t>三、支出决算情况说明</w:t>
      </w:r>
    </w:p>
    <w:p>
      <w:pPr>
        <w:pStyle w:val="8"/>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8"/>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8"/>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8"/>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p>
    <w:p>
      <w:pPr>
        <w:pStyle w:val="8"/>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8"/>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p>
    <w:p>
      <w:pPr>
        <w:adjustRightInd w:val="0"/>
        <w:snapToGrid w:val="0"/>
        <w:spacing w:line="440" w:lineRule="exact"/>
        <w:ind w:firstLine="480" w:firstLineChars="200"/>
        <w:jc w:val="left"/>
        <w:rPr>
          <w:rFonts w:ascii="仿宋" w:hAnsi="仿宋" w:eastAsia="仿宋"/>
          <w:sz w:val="24"/>
        </w:rPr>
      </w:pPr>
      <w:r>
        <w:rPr>
          <w:rStyle w:val="13"/>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ab/>
      </w:r>
    </w:p>
    <w:p>
      <w:pPr>
        <w:pStyle w:val="7"/>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7"/>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8"/>
        <w:adjustRightInd w:val="0"/>
        <w:snapToGrid w:val="0"/>
        <w:spacing w:line="440" w:lineRule="exact"/>
        <w:jc w:val="left"/>
        <w:rPr>
          <w:rFonts w:ascii="仿宋" w:hAnsi="仿宋" w:eastAsia="仿宋"/>
          <w:sz w:val="24"/>
        </w:rPr>
      </w:pPr>
      <w:r>
        <w:rPr>
          <w:rFonts w:hint="eastAsia"/>
          <w:sz w:val="24"/>
        </w:rPr>
        <w:t>附件</w:t>
      </w:r>
      <w:r>
        <w:rPr>
          <w:sz w:val="24"/>
        </w:rPr>
        <w:t>1</w:t>
      </w:r>
    </w:p>
    <w:p>
      <w:pPr>
        <w:pStyle w:val="8"/>
        <w:adjustRightInd w:val="0"/>
        <w:snapToGrid w:val="0"/>
        <w:spacing w:line="440" w:lineRule="exact"/>
        <w:jc w:val="left"/>
        <w:rPr>
          <w:rFonts w:ascii="仿宋" w:hAnsi="仿宋" w:eastAsia="仿宋"/>
          <w:sz w:val="24"/>
        </w:rPr>
      </w:pPr>
      <w:r>
        <w:rPr>
          <w:rFonts w:hint="eastAsia"/>
          <w:sz w:val="24"/>
        </w:rPr>
        <w:t>附件</w:t>
      </w:r>
      <w:r>
        <w:rPr>
          <w:sz w:val="24"/>
        </w:rPr>
        <w:t>2</w:t>
      </w:r>
    </w:p>
    <w:p>
      <w:pPr>
        <w:pStyle w:val="7"/>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一、收入支出决算总表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二、收入决算表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三、支出决算表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四、财政拨款收入支出决算总表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五、财政拨款支出决算明细表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六、一般公共预算财政拨款支出决算表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七、一般公共预算财政拨款支出决算明细表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八、一般公共预算财政拨款基本支出决算表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九、一般公共预算财政拨款项目支出决算表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十、一般公共预算财政拨款“三公”经费支出决算表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十一、政府性基金预算财政拨款收入支出决算表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十二、政府性基金预算财政拨款“三公”经费支出决算表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十三、国有资本经营预算财政拨款收入支出决算表</w:t>
      </w:r>
    </w:p>
    <w:p>
      <w:pPr>
        <w:pStyle w:val="8"/>
        <w:adjustRightInd w:val="0"/>
        <w:snapToGrid w:val="0"/>
        <w:spacing w:line="440" w:lineRule="exact"/>
        <w:jc w:val="left"/>
        <w:rPr>
          <w:rFonts w:hint="eastAsia" w:ascii="仿宋" w:hAnsi="仿宋" w:eastAsia="仿宋"/>
          <w:sz w:val="24"/>
        </w:rPr>
      </w:pPr>
      <w:r>
        <w:rPr>
          <w:rFonts w:hint="eastAsia" w:ascii="仿宋" w:hAnsi="仿宋" w:eastAsia="仿宋"/>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w:t>
      </w:r>
      <w:r>
        <w:rPr>
          <w:rFonts w:hint="eastAsia" w:ascii="仿宋" w:hAnsi="仿宋" w:eastAsia="仿宋"/>
          <w:color w:val="FF0000"/>
          <w:sz w:val="24"/>
        </w:rPr>
        <w:t>注：请部门根据实际注明页码</w:t>
      </w:r>
      <w:r>
        <w:rPr>
          <w:rFonts w:ascii="仿宋" w:hAnsi="仿宋" w:eastAsia="仿宋"/>
          <w:color w:val="FF0000"/>
          <w:sz w:val="24"/>
        </w:rPr>
        <w:t>)</w:t>
      </w:r>
    </w:p>
    <w:p>
      <w:pPr>
        <w:pageBreakBefore w:val="0"/>
        <w:widowControl/>
        <w:kinsoku/>
        <w:wordWrap/>
        <w:overflowPunct/>
        <w:topLinePunct w:val="0"/>
        <w:bidi w:val="0"/>
        <w:spacing w:line="520" w:lineRule="exact"/>
        <w:jc w:val="center"/>
        <w:rPr>
          <w:rFonts w:ascii="黑体" w:hAnsi="黑体" w:eastAsia="黑体"/>
          <w:bCs/>
          <w:kern w:val="44"/>
          <w:sz w:val="44"/>
          <w:szCs w:val="44"/>
        </w:rPr>
      </w:pPr>
      <w:r>
        <w:rPr>
          <w:rFonts w:ascii="仿宋" w:hAnsi="仿宋" w:eastAsia="仿宋"/>
          <w:b/>
          <w:sz w:val="24"/>
        </w:rPr>
        <w:br w:type="page"/>
      </w:r>
      <w:r>
        <w:rPr>
          <w:rFonts w:hint="eastAsia" w:ascii="黑体" w:hAnsi="黑体" w:eastAsia="黑体"/>
          <w:sz w:val="44"/>
          <w:szCs w:val="44"/>
        </w:rPr>
        <w:t>第一部分</w:t>
      </w:r>
      <w:r>
        <w:rPr>
          <w:rStyle w:val="14"/>
          <w:rFonts w:hint="eastAsia" w:ascii="黑体" w:hAnsi="黑体" w:eastAsia="黑体"/>
          <w:b w:val="0"/>
        </w:rPr>
        <w:t>部门概况</w:t>
      </w:r>
      <w:bookmarkEnd w:id="11"/>
      <w:bookmarkEnd w:id="12"/>
    </w:p>
    <w:p>
      <w:pPr>
        <w:pStyle w:val="3"/>
        <w:keepNext/>
        <w:keepLines/>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黑体" w:hAnsi="黑体" w:eastAsia="黑体"/>
          <w:b w:val="0"/>
          <w:color w:val="000000"/>
        </w:rPr>
      </w:pPr>
      <w:bookmarkStart w:id="13" w:name="_Toc15377197"/>
      <w:bookmarkStart w:id="14" w:name="_Toc15396600"/>
    </w:p>
    <w:p>
      <w:pPr>
        <w:pStyle w:val="3"/>
        <w:keepNext/>
        <w:keepLines/>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Style w:val="15"/>
          <w:rFonts w:hint="eastAsia" w:ascii="黑体" w:hAnsi="黑体" w:eastAsia="黑体"/>
          <w:b w:val="0"/>
          <w:bCs w:val="0"/>
        </w:rPr>
      </w:pPr>
      <w:r>
        <w:rPr>
          <w:rFonts w:hint="eastAsia" w:ascii="黑体" w:hAnsi="黑体" w:eastAsia="黑体"/>
          <w:b w:val="0"/>
          <w:color w:val="000000"/>
        </w:rPr>
        <w:t>一、基</w:t>
      </w:r>
      <w:r>
        <w:rPr>
          <w:rStyle w:val="15"/>
          <w:rFonts w:hint="eastAsia" w:ascii="黑体" w:hAnsi="黑体" w:eastAsia="黑体"/>
          <w:b w:val="0"/>
          <w:bCs w:val="0"/>
        </w:rPr>
        <w:t>本职能及主要工作</w:t>
      </w:r>
      <w:bookmarkEnd w:id="13"/>
      <w:bookmarkEnd w:id="14"/>
    </w:p>
    <w:p>
      <w:pPr>
        <w:pStyle w:val="3"/>
        <w:keepNext/>
        <w:keepLines/>
        <w:pageBreakBefore w:val="0"/>
        <w:widowControl w:val="0"/>
        <w:kinsoku/>
        <w:wordWrap/>
        <w:overflowPunct/>
        <w:topLinePunct w:val="0"/>
        <w:autoSpaceDE/>
        <w:autoSpaceDN/>
        <w:bidi w:val="0"/>
        <w:adjustRightInd/>
        <w:snapToGrid/>
        <w:spacing w:before="0" w:after="0" w:line="52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（一）主要职能</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1.深入贯彻党的路线方针政策和决策部署，统一政法各部门思想和行动，坚持党对政法工作的绝对领导，坚决维护党中央权威和集中统一领导。</w:t>
      </w:r>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深入贯彻党中央决定和省委、市委、县委决策，对政法工作研究提出全局性部署，推进平安南江、法治南江建设，加强过硬队伍建设，深化智能化建设，坚决维护国家政治安全、确保社会大局稳定、促进社会公平正义、保障人民安居乐业。</w:t>
      </w:r>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了解掌握和分析研判政法工作情况动态，分析全县社会稳定形势，创新完善多部门参与的综治维稳工作机制，构建矛盾纠纷多元化解体系和机制，协调推动预防、化解影响稳定的社会矛盾和风险，协调应对和处置重大突发事件。</w:t>
      </w:r>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4.加强对政法工作的督查，统筹协调维护政治安全、社会治安综合治理、维护社会稳定、反邪教有关法律法规政策的实施工作;指导全县政法系统网络安全和智能化建设工作。</w:t>
      </w:r>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5.组织开展政法领域的调查研究，研究拟订全县政法工作的政策措施，及时向县委提出决策建议;参与有关法规、规章的起草、修改工作，及时提出立法建议。</w:t>
      </w:r>
    </w:p>
    <w:p>
      <w:pPr>
        <w:pageBreakBefore w:val="0"/>
        <w:kinsoku/>
        <w:wordWrap/>
        <w:overflowPunct/>
        <w:topLinePunct w:val="0"/>
        <w:bidi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6.掌握分析政法舆情动态，指导协调政法部门媒体网络宣传工作，指导政法部门做好涉及政法工作的重大宣传和舆论引导工作。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7.监督和支持政法各部门依法行使职权，指导和协调政法各部门密切配合，研究和协调重大、疑难案件，推进严格执法、公正司法。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8.组织研究政法改革中带有方向性、倾向性和普遍性的重大问题，深化政法改革。</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9.指导推动政法系统党的建设和政法队伍建设，协同县级有关职能部门管理监督政法领导干部，代管南江县法学会。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10.完成县委交办的其他任务。</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color w:val="000000"/>
          <w:sz w:val="32"/>
          <w:szCs w:val="32"/>
        </w:rPr>
      </w:pPr>
      <w:bookmarkStart w:id="15" w:name="_Toc15377199"/>
      <w:bookmarkStart w:id="16" w:name="_Toc15378446"/>
      <w:r>
        <w:rPr>
          <w:rFonts w:hint="eastAsia" w:ascii="楷体_GB2312" w:hAnsi="楷体_GB2312" w:eastAsia="楷体_GB2312" w:cs="楷体_GB2312"/>
          <w:b/>
          <w:bCs/>
          <w:color w:val="000000"/>
          <w:sz w:val="32"/>
          <w:szCs w:val="32"/>
        </w:rPr>
        <w:t>（二）20</w:t>
      </w:r>
      <w:r>
        <w:rPr>
          <w:rFonts w:hint="eastAsia" w:ascii="楷体_GB2312" w:hAnsi="楷体_GB2312" w:eastAsia="楷体_GB2312" w:cs="楷体_GB2312"/>
          <w:b/>
          <w:bCs/>
          <w:color w:val="000000"/>
          <w:sz w:val="32"/>
          <w:szCs w:val="32"/>
          <w:lang w:val="en-US" w:eastAsia="zh-CN"/>
        </w:rPr>
        <w:t>21</w:t>
      </w:r>
      <w:r>
        <w:rPr>
          <w:rFonts w:hint="eastAsia" w:ascii="楷体_GB2312" w:hAnsi="楷体_GB2312" w:eastAsia="楷体_GB2312" w:cs="楷体_GB2312"/>
          <w:b/>
          <w:bCs/>
          <w:color w:val="000000"/>
          <w:sz w:val="32"/>
          <w:szCs w:val="32"/>
        </w:rPr>
        <w:t>年重点工作完成情况</w:t>
      </w:r>
      <w:bookmarkEnd w:id="15"/>
      <w:bookmarkEnd w:id="16"/>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bookmarkStart w:id="17" w:name="_Toc15377200"/>
      <w:bookmarkStart w:id="18" w:name="_Toc15396601"/>
      <w:r>
        <w:rPr>
          <w:rFonts w:hint="eastAsia" w:ascii="仿宋_GB2312" w:hAnsi="仿宋_GB2312" w:eastAsia="仿宋_GB2312" w:cs="仿宋_GB2312"/>
          <w:b/>
          <w:bCs/>
          <w:color w:val="000000"/>
          <w:sz w:val="32"/>
          <w:szCs w:val="32"/>
        </w:rPr>
        <w:t>1.强化维护稳定工作。</w:t>
      </w:r>
      <w:r>
        <w:rPr>
          <w:rFonts w:hint="eastAsia" w:ascii="仿宋_GB2312" w:hAnsi="仿宋_GB2312" w:eastAsia="仿宋_GB2312" w:cs="仿宋_GB2312"/>
          <w:color w:val="000000"/>
          <w:sz w:val="32"/>
          <w:szCs w:val="32"/>
        </w:rPr>
        <w:t>一是强化责任落实。要按照“属地管理、分级负责”和“谁主管、谁负责”原则，切实履行维稳工作责任。二是强化应急处置。树立底线思维，健全指挥体系，充实应急队伍，完备处置预案，密织社会治安防控体系。三是强化化解稳控。按照“</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治本、稳控治标”的要求，对一切不稳定因素深入排查、全面化解，将大小矛盾化解在地方，消除在源头，并做好稳控保障。四是强化源头防范。对重大活动、重点项目、重大政策等工作要进行社会稳定风险评估，从源头上预防和减少各类矛盾纠纷。五是强化重点稳控。对敏感时间节点、重要活动领域、重点防控对象进一步加强稳控力度，形成全方位、多层次的防控体系和处理机制。</w:t>
      </w:r>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2.统筹推进综治工作</w:t>
      </w:r>
      <w:r>
        <w:rPr>
          <w:rFonts w:hint="eastAsia" w:ascii="仿宋_GB2312" w:hAnsi="仿宋_GB2312" w:eastAsia="仿宋_GB2312" w:cs="仿宋_GB2312"/>
          <w:color w:val="000000"/>
          <w:sz w:val="32"/>
          <w:szCs w:val="32"/>
        </w:rPr>
        <w:t>。一是加强平安创建。建立健全平安宣传工作机制，切实加大平安建设宣传力度，提升平安建设群众知晓率、参与率和满意度。二是加强立体化治安防控体系建设管理。实施雪亮工程四期建设，建立健全雪亮工程运行管理制度，提升雪亮工程功能。三是加强治安巡逻、群防群治和视频监控巡防。加强重点地方和重点时段治安巡防，提高群众见警率，加大群防群治力度。充分发挥智慧城市、智慧旅游、智慧交通和雪亮工程视频监控平台作用，加强全县治安安全视频监控巡</w:t>
      </w:r>
      <w:r>
        <w:rPr>
          <w:rFonts w:hint="eastAsia" w:ascii="仿宋_GB2312" w:hAnsi="仿宋_GB2312" w:eastAsia="仿宋_GB2312" w:cs="仿宋_GB2312"/>
          <w:color w:val="000000"/>
          <w:sz w:val="32"/>
          <w:szCs w:val="32"/>
          <w:lang w:eastAsia="zh-CN"/>
        </w:rPr>
        <w:t>查</w:t>
      </w:r>
      <w:r>
        <w:rPr>
          <w:rFonts w:hint="eastAsia" w:ascii="仿宋_GB2312" w:hAnsi="仿宋_GB2312" w:eastAsia="仿宋_GB2312" w:cs="仿宋_GB2312"/>
          <w:color w:val="000000"/>
          <w:sz w:val="32"/>
          <w:szCs w:val="32"/>
        </w:rPr>
        <w:t>。四是加强网格化管理服务。建立健全网格化管理服务工作规范和网格员管理考核办法，充分发挥网格员的积极作用。五是加强综治安全稳定工作。加强寄递物流和危爆物品安全监管；加强客运站源头安全监管；加强重性精神障碍患者管理服务；建立常态化管控机制，制定常态化管控措施，落实常态化管控人员。六是加强机制完善。着力抓好贯彻落实《矛盾纠纷多元化解实施方案》，进一步完善“7+N”矛盾化解机制，充分发挥群众调解作用。七是加强综治中心规范运行。进一步加大综治中心建设力度，规范运行管理综治中心建设。八是加强校园周边环境综合治理。进一步开展好校园周边环境综合治理行动，形成多部门协作、联合执法、情报共享的工作机制。</w:t>
      </w:r>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3.强化防范工作。</w:t>
      </w:r>
      <w:r>
        <w:rPr>
          <w:rFonts w:hint="eastAsia" w:ascii="仿宋_GB2312" w:hAnsi="仿宋_GB2312" w:eastAsia="仿宋_GB2312" w:cs="仿宋_GB2312"/>
          <w:color w:val="000000"/>
          <w:sz w:val="32"/>
          <w:szCs w:val="32"/>
        </w:rPr>
        <w:t>一是警示教育常态化。深入开展防范工作警示教育“七进”活动，实现警示教育无盲区、无死角、无空白。二是防范控制网格化。把防范控制工作纳入创新社会治理的重要内容，确保情况信息快捷灵通，及时高效。三是依法打击精准化。配合公安、文化、宗教等相关部门，加大对涉案的侦办力度，始终保持“严打”高压态势。四是教育转化规范化。深入开展教育转化工作，严格按照“五条标准”衡量转化效果，确保教转质量。五是涉外斗争长期化。坚持网上网下联动、联防、联打，有效抵制反宣渗透，巩固防范成果，真正实现“三无”标准。</w:t>
      </w:r>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4.强化执法监督工作。</w:t>
      </w:r>
      <w:r>
        <w:rPr>
          <w:rFonts w:hint="eastAsia" w:ascii="仿宋_GB2312" w:hAnsi="仿宋_GB2312" w:eastAsia="仿宋_GB2312" w:cs="仿宋_GB2312"/>
          <w:color w:val="000000"/>
          <w:sz w:val="32"/>
          <w:szCs w:val="32"/>
        </w:rPr>
        <w:t>一是落实案件评查制度。二是抓好涉案特困群众的司法救助工作。三是抓好对政法各部门的执法监督工作。</w:t>
      </w:r>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5.推进法学会工作。</w:t>
      </w:r>
      <w:r>
        <w:rPr>
          <w:rFonts w:hint="eastAsia" w:ascii="仿宋_GB2312" w:hAnsi="仿宋_GB2312" w:eastAsia="仿宋_GB2312" w:cs="仿宋_GB2312"/>
          <w:color w:val="000000"/>
          <w:sz w:val="32"/>
          <w:szCs w:val="32"/>
        </w:rPr>
        <w:t>一是健全完善法学会工作组织体系。二是强化法学会研究体系建设。三是强化法学队伍教育管理。四是加强法学信息</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经验交流。五是完善法学工作考核激励机制。六是推进法学会实体化、实战化建设。</w:t>
      </w:r>
    </w:p>
    <w:p>
      <w:pPr>
        <w:pageBreakBefore w:val="0"/>
        <w:kinsoku/>
        <w:wordWrap/>
        <w:overflowPunct/>
        <w:topLinePunct w:val="0"/>
        <w:bidi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6.加强政法队伍建设</w:t>
      </w:r>
      <w:r>
        <w:rPr>
          <w:rFonts w:hint="eastAsia" w:ascii="仿宋_GB2312" w:hAnsi="仿宋_GB2312" w:eastAsia="仿宋_GB2312" w:cs="仿宋_GB2312"/>
          <w:color w:val="000000"/>
          <w:sz w:val="32"/>
          <w:szCs w:val="32"/>
        </w:rPr>
        <w:t>。一是加强班子能力建设。巩固和拓展“四对照四提升•做忠诚卫士”专题教育活动和“两学一做”学习教育成果，全面提升抓班子、带队伍、促发展、保稳定工作水平。二是加强党风廉政建设。在全县政法系统内大面积开展廉政警示教育活动，把</w:t>
      </w:r>
      <w:r>
        <w:rPr>
          <w:rFonts w:hint="eastAsia" w:ascii="仿宋_GB2312" w:hAnsi="仿宋_GB2312" w:eastAsia="仿宋_GB2312" w:cs="仿宋_GB2312"/>
          <w:color w:val="000000"/>
          <w:sz w:val="32"/>
          <w:szCs w:val="32"/>
          <w:lang w:val="en-US" w:eastAsia="zh-CN"/>
        </w:rPr>
        <w:t>中央</w:t>
      </w:r>
      <w:r>
        <w:rPr>
          <w:rFonts w:hint="eastAsia" w:ascii="仿宋_GB2312" w:hAnsi="仿宋_GB2312" w:eastAsia="仿宋_GB2312" w:cs="仿宋_GB2312"/>
          <w:color w:val="000000"/>
          <w:sz w:val="32"/>
          <w:szCs w:val="32"/>
        </w:rPr>
        <w:t>八项规定和从严治警的各项要求落到实处，聚焦“四风”，立行立改，以铁的决心维护纪律的严肃性、权威性，以“零容忍”的态度严肃查处违纪违法问题，确保队伍纯洁性。三是加强精神学习贯彻。扎实开展理论、纪律、法规等系列学习教育活动，进一步深化对习近平新时代中国特色社会主义思想的学习和领悟，进一步贯彻好中央、省、市、县委政法工作会议精神，切实增强政法队伍政治觉悟和理论水平。四是加强技能学习培训。对全县政法干警进行分层、分级、分类</w:t>
      </w:r>
      <w:bookmarkStart w:id="67" w:name="_GoBack"/>
      <w:bookmarkEnd w:id="67"/>
      <w:r>
        <w:rPr>
          <w:rFonts w:hint="eastAsia" w:ascii="仿宋_GB2312" w:hAnsi="仿宋_GB2312" w:eastAsia="仿宋_GB2312" w:cs="仿宋_GB2312"/>
          <w:color w:val="000000"/>
          <w:sz w:val="32"/>
          <w:szCs w:val="32"/>
        </w:rPr>
        <w:t>全员培训，广泛开展岗位练兵、技能比武竞赛活动，提升全面素质。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Style w:val="15"/>
          <w:rFonts w:hint="eastAsia" w:ascii="黑体" w:hAnsi="黑体" w:eastAsia="黑体" w:cs="黑体"/>
          <w:b w:val="0"/>
          <w:bCs w:val="0"/>
          <w:sz w:val="32"/>
          <w:szCs w:val="32"/>
        </w:rPr>
      </w:pPr>
      <w:r>
        <w:rPr>
          <w:rFonts w:hint="eastAsia" w:ascii="黑体" w:hAnsi="黑体" w:eastAsia="黑体" w:cs="黑体"/>
          <w:b w:val="0"/>
          <w:color w:val="000000"/>
          <w:sz w:val="32"/>
          <w:szCs w:val="32"/>
        </w:rPr>
        <w:t>二、机</w:t>
      </w:r>
      <w:r>
        <w:rPr>
          <w:rStyle w:val="15"/>
          <w:rFonts w:hint="eastAsia" w:ascii="黑体" w:hAnsi="黑体" w:eastAsia="黑体" w:cs="黑体"/>
          <w:b w:val="0"/>
          <w:bCs w:val="0"/>
          <w:sz w:val="32"/>
          <w:szCs w:val="32"/>
        </w:rPr>
        <w:t>构设置</w:t>
      </w:r>
      <w:bookmarkEnd w:id="17"/>
      <w:bookmarkEnd w:id="18"/>
    </w:p>
    <w:p>
      <w:pPr>
        <w:pageBreakBefore w:val="0"/>
        <w:kinsoku/>
        <w:wordWrap/>
        <w:overflowPunct/>
        <w:topLinePunct w:val="0"/>
        <w:bidi w:val="0"/>
        <w:spacing w:line="520" w:lineRule="exact"/>
        <w:ind w:firstLine="640" w:firstLineChars="200"/>
        <w:rPr>
          <w:rFonts w:ascii="仿宋" w:hAnsi="仿宋" w:eastAsia="仿宋" w:cs="仿宋"/>
          <w:color w:val="0000FF"/>
          <w:sz w:val="32"/>
          <w:szCs w:val="32"/>
        </w:rPr>
      </w:pPr>
      <w:r>
        <w:rPr>
          <w:rFonts w:hint="eastAsia" w:ascii="仿宋" w:hAnsi="仿宋" w:eastAsia="仿宋" w:cs="仿宋"/>
          <w:sz w:val="32"/>
          <w:szCs w:val="32"/>
        </w:rPr>
        <w:t>中共南江县委政法委员会实行综合预算制度，即全部收入和支出都纳入预算管理。内设办公室、维稳指导室、综治督导室（专项行动办公室）、矛盾多元化解指导室（执法监督和信访室）、政治处、机关党委。南江县法学会是县委群团组织，由政法委代管。政法委下设事业单位</w:t>
      </w:r>
      <w:r>
        <w:rPr>
          <w:rFonts w:hint="eastAsia" w:ascii="仿宋" w:hAnsi="仿宋" w:eastAsia="仿宋" w:cs="仿宋"/>
          <w:sz w:val="32"/>
          <w:szCs w:val="32"/>
          <w:lang w:val="en-US" w:eastAsia="zh-CN"/>
        </w:rPr>
        <w:t>南江县社会治安综合治理</w:t>
      </w:r>
      <w:r>
        <w:rPr>
          <w:rFonts w:hint="eastAsia" w:ascii="仿宋" w:hAnsi="仿宋" w:eastAsia="仿宋" w:cs="仿宋"/>
          <w:sz w:val="32"/>
          <w:szCs w:val="32"/>
        </w:rPr>
        <w:t>中心（简称</w:t>
      </w:r>
      <w:r>
        <w:rPr>
          <w:rFonts w:hint="eastAsia" w:ascii="仿宋" w:hAnsi="仿宋" w:eastAsia="仿宋" w:cs="仿宋"/>
          <w:sz w:val="32"/>
          <w:szCs w:val="32"/>
          <w:lang w:val="en-US" w:eastAsia="zh-CN"/>
        </w:rPr>
        <w:t>社会治安综合治理</w:t>
      </w:r>
      <w:r>
        <w:rPr>
          <w:rFonts w:hint="eastAsia" w:ascii="仿宋" w:hAnsi="仿宋" w:eastAsia="仿宋" w:cs="仿宋"/>
          <w:sz w:val="32"/>
          <w:szCs w:val="32"/>
        </w:rPr>
        <w:t>中心）。</w:t>
      </w:r>
    </w:p>
    <w:p>
      <w:pPr>
        <w:pStyle w:val="2"/>
        <w:pageBreakBefore w:val="0"/>
        <w:kinsoku/>
        <w:wordWrap/>
        <w:overflowPunct/>
        <w:topLinePunct w:val="0"/>
        <w:bidi w:val="0"/>
        <w:spacing w:line="520" w:lineRule="exact"/>
        <w:ind w:right="440"/>
        <w:jc w:val="right"/>
      </w:pPr>
      <w:bookmarkStart w:id="19" w:name="_Toc15396602"/>
      <w:bookmarkStart w:id="20" w:name="_Toc15377204"/>
      <w:r>
        <w:rPr>
          <w:rFonts w:hint="eastAsia" w:ascii="黑体" w:hAnsi="黑体" w:eastAsia="黑体"/>
          <w:b w:val="0"/>
          <w:color w:val="000000"/>
        </w:rPr>
        <w:t>第二部分</w:t>
      </w:r>
      <w:r>
        <w:rPr>
          <w:rStyle w:val="14"/>
          <w:rFonts w:hint="eastAsia" w:ascii="黑体" w:hAnsi="黑体" w:eastAsia="黑体"/>
          <w:b w:val="0"/>
          <w:bCs w:val="0"/>
        </w:rPr>
        <w:t>20</w:t>
      </w:r>
      <w:r>
        <w:rPr>
          <w:rStyle w:val="14"/>
          <w:rFonts w:hint="eastAsia" w:ascii="黑体" w:hAnsi="黑体" w:eastAsia="黑体"/>
          <w:b w:val="0"/>
          <w:bCs w:val="0"/>
          <w:lang w:val="en-US" w:eastAsia="zh-CN"/>
        </w:rPr>
        <w:t>21</w:t>
      </w:r>
      <w:r>
        <w:rPr>
          <w:rStyle w:val="14"/>
          <w:rFonts w:hint="eastAsia" w:ascii="黑体" w:hAnsi="黑体" w:eastAsia="黑体"/>
          <w:b w:val="0"/>
          <w:bCs w:val="0"/>
        </w:rPr>
        <w:t>年度部门决算情况说明</w:t>
      </w:r>
      <w:bookmarkEnd w:id="19"/>
      <w:bookmarkEnd w:id="20"/>
    </w:p>
    <w:p>
      <w:pPr>
        <w:pStyle w:val="16"/>
        <w:pageBreakBefore w:val="0"/>
        <w:numPr>
          <w:ilvl w:val="0"/>
          <w:numId w:val="1"/>
        </w:numPr>
        <w:kinsoku/>
        <w:wordWrap/>
        <w:overflowPunct/>
        <w:topLinePunct w:val="0"/>
        <w:bidi w:val="0"/>
        <w:spacing w:line="520" w:lineRule="exact"/>
        <w:ind w:firstLineChars="0"/>
        <w:outlineLvl w:val="1"/>
        <w:rPr>
          <w:rStyle w:val="15"/>
          <w:rFonts w:ascii="黑体" w:hAnsi="黑体" w:eastAsia="黑体"/>
          <w:b w:val="0"/>
        </w:rPr>
      </w:pPr>
      <w:bookmarkStart w:id="21" w:name="_Toc15396603"/>
      <w:bookmarkStart w:id="22" w:name="_Toc15377205"/>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21"/>
      <w:bookmarkEnd w:id="22"/>
    </w:p>
    <w:p>
      <w:pPr>
        <w:pageBreakBefore w:val="0"/>
        <w:kinsoku/>
        <w:wordWrap/>
        <w:overflowPunct/>
        <w:topLinePunct w:val="0"/>
        <w:bidi w:val="0"/>
        <w:spacing w:line="520" w:lineRule="exact"/>
        <w:ind w:firstLine="640" w:firstLineChars="200"/>
        <w:rPr>
          <w:rFonts w:hint="eastAsia" w:ascii="仿宋" w:hAnsi="仿宋" w:eastAsia="仿宋"/>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1092.58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54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雪亮工程等项目网络租赁费</w:t>
      </w:r>
      <w:r>
        <w:rPr>
          <w:rFonts w:hint="eastAsia" w:ascii="仿宋" w:hAnsi="仿宋" w:eastAsia="仿宋"/>
          <w:sz w:val="32"/>
          <w:szCs w:val="32"/>
        </w:rPr>
        <w:t>支出</w:t>
      </w:r>
      <w:r>
        <w:rPr>
          <w:rFonts w:hint="eastAsia" w:ascii="仿宋" w:hAnsi="仿宋" w:eastAsia="仿宋"/>
          <w:sz w:val="32"/>
          <w:szCs w:val="32"/>
          <w:lang w:eastAsia="zh-CN"/>
        </w:rPr>
        <w:t>已纳入年初预算</w:t>
      </w:r>
      <w:r>
        <w:rPr>
          <w:rFonts w:hint="eastAsia" w:ascii="仿宋" w:hAnsi="仿宋" w:eastAsia="仿宋"/>
          <w:sz w:val="32"/>
          <w:szCs w:val="32"/>
        </w:rPr>
        <w:t>安排</w:t>
      </w:r>
      <w:r>
        <w:rPr>
          <w:rFonts w:hint="eastAsia" w:ascii="仿宋" w:hAnsi="仿宋" w:eastAsia="仿宋"/>
          <w:sz w:val="32"/>
          <w:szCs w:val="32"/>
          <w:lang w:eastAsia="zh-CN"/>
        </w:rPr>
        <w:t>。</w:t>
      </w:r>
    </w:p>
    <w:p>
      <w:pPr>
        <w:pageBreakBefore w:val="0"/>
        <w:widowControl/>
        <w:kinsoku/>
        <w:wordWrap/>
        <w:overflowPunct/>
        <w:topLinePunct w:val="0"/>
        <w:bidi w:val="0"/>
        <w:spacing w:line="240" w:lineRule="auto"/>
        <w:jc w:val="left"/>
        <w:rPr>
          <w:rFonts w:ascii="仿宋" w:hAnsi="仿宋" w:eastAsia="仿宋"/>
          <w:color w:val="000000"/>
          <w:sz w:val="32"/>
          <w:szCs w:val="32"/>
        </w:rPr>
      </w:pPr>
      <w:r>
        <w:drawing>
          <wp:inline distT="0" distB="0" distL="114300" distR="114300">
            <wp:extent cx="5261610" cy="2743200"/>
            <wp:effectExtent l="4445" t="4445" r="1079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ageBreakBefore w:val="0"/>
        <w:kinsoku/>
        <w:wordWrap/>
        <w:overflowPunct/>
        <w:topLinePunct w:val="0"/>
        <w:bidi w:val="0"/>
        <w:spacing w:line="520" w:lineRule="exact"/>
        <w:ind w:firstLine="480" w:firstLineChars="200"/>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（图</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：收、支决算总计变动情况图）（柱状图）</w:t>
      </w:r>
    </w:p>
    <w:p>
      <w:pPr>
        <w:pStyle w:val="16"/>
        <w:pageBreakBefore w:val="0"/>
        <w:numPr>
          <w:ilvl w:val="0"/>
          <w:numId w:val="1"/>
        </w:numPr>
        <w:kinsoku/>
        <w:wordWrap/>
        <w:overflowPunct/>
        <w:topLinePunct w:val="0"/>
        <w:bidi w:val="0"/>
        <w:spacing w:line="520" w:lineRule="exact"/>
        <w:ind w:firstLineChars="0"/>
        <w:outlineLvl w:val="1"/>
        <w:rPr>
          <w:rStyle w:val="15"/>
          <w:rFonts w:ascii="黑体" w:hAnsi="黑体" w:eastAsia="黑体"/>
          <w:b w:val="0"/>
        </w:rPr>
      </w:pPr>
      <w:bookmarkStart w:id="23" w:name="_Toc15377206"/>
      <w:bookmarkStart w:id="24" w:name="_Toc15396604"/>
      <w:r>
        <w:rPr>
          <w:rFonts w:hint="eastAsia" w:ascii="黑体" w:hAnsi="黑体" w:eastAsia="黑体"/>
          <w:color w:val="000000"/>
          <w:sz w:val="32"/>
          <w:szCs w:val="32"/>
        </w:rPr>
        <w:t>收</w:t>
      </w:r>
      <w:r>
        <w:rPr>
          <w:rStyle w:val="15"/>
          <w:rFonts w:hint="eastAsia" w:ascii="黑体" w:hAnsi="黑体" w:eastAsia="黑体"/>
          <w:b w:val="0"/>
        </w:rPr>
        <w:t>入决算情况说明</w:t>
      </w:r>
      <w:bookmarkEnd w:id="23"/>
      <w:bookmarkEnd w:id="24"/>
    </w:p>
    <w:p>
      <w:pPr>
        <w:pageBreakBefore w:val="0"/>
        <w:widowControl/>
        <w:kinsoku/>
        <w:wordWrap/>
        <w:overflowPunct/>
        <w:topLinePunct w:val="0"/>
        <w:bidi w:val="0"/>
        <w:spacing w:line="240" w:lineRule="auto"/>
        <w:ind w:firstLine="640" w:firstLineChars="200"/>
        <w:jc w:val="left"/>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pageBreakBefore w:val="0"/>
        <w:widowControl/>
        <w:kinsoku/>
        <w:wordWrap/>
        <w:overflowPunct/>
        <w:topLinePunct w:val="0"/>
        <w:bidi w:val="0"/>
        <w:spacing w:line="240" w:lineRule="auto"/>
        <w:jc w:val="lef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drawing>
          <wp:inline distT="0" distB="0" distL="114300" distR="114300">
            <wp:extent cx="3532505" cy="2239010"/>
            <wp:effectExtent l="4445" t="4445" r="6350" b="234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ageBreakBefore w:val="0"/>
        <w:kinsoku/>
        <w:wordWrap/>
        <w:overflowPunct/>
        <w:topLinePunct w:val="0"/>
        <w:bidi w:val="0"/>
        <w:spacing w:line="520" w:lineRule="exact"/>
        <w:ind w:firstLine="480" w:firstLineChars="200"/>
        <w:rPr>
          <w:rFonts w:ascii="仿宋_GB2312" w:eastAsia="仿宋_GB2312"/>
          <w:color w:val="FF0000"/>
          <w:sz w:val="32"/>
          <w:szCs w:val="32"/>
        </w:rPr>
      </w:pPr>
      <w:r>
        <w:rPr>
          <w:rFonts w:hint="eastAsia" w:ascii="仿宋" w:hAnsi="仿宋" w:eastAsia="仿宋"/>
          <w:color w:val="000000" w:themeColor="text1"/>
          <w:sz w:val="24"/>
          <w:szCs w:val="24"/>
          <w14:textFill>
            <w14:solidFill>
              <w14:schemeClr w14:val="tx1"/>
            </w14:solidFill>
          </w14:textFill>
        </w:rPr>
        <w:t>（图2：收入决算结构图）（饼状图）</w:t>
      </w:r>
    </w:p>
    <w:p>
      <w:pPr>
        <w:pStyle w:val="16"/>
        <w:pageBreakBefore w:val="0"/>
        <w:numPr>
          <w:ilvl w:val="0"/>
          <w:numId w:val="1"/>
        </w:numPr>
        <w:kinsoku/>
        <w:wordWrap/>
        <w:overflowPunct/>
        <w:topLinePunct w:val="0"/>
        <w:bidi w:val="0"/>
        <w:spacing w:line="520" w:lineRule="exact"/>
        <w:ind w:firstLineChars="0"/>
        <w:outlineLvl w:val="1"/>
        <w:rPr>
          <w:rStyle w:val="15"/>
          <w:rFonts w:ascii="黑体" w:hAnsi="黑体" w:eastAsia="黑体"/>
          <w:b w:val="0"/>
        </w:rPr>
      </w:pPr>
      <w:bookmarkStart w:id="25" w:name="_Toc15396605"/>
      <w:bookmarkStart w:id="26"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25"/>
      <w:bookmarkEnd w:id="26"/>
    </w:p>
    <w:p>
      <w:pPr>
        <w:pageBreakBefore w:val="0"/>
        <w:kinsoku/>
        <w:wordWrap/>
        <w:overflowPunct/>
        <w:topLinePunct w:val="0"/>
        <w:bidi w:val="0"/>
        <w:spacing w:line="520" w:lineRule="exact"/>
        <w:ind w:firstLine="640"/>
        <w:rPr>
          <w:rFonts w:ascii="仿宋" w:hAnsi="仿宋" w:eastAsia="仿宋"/>
          <w:color w:val="000000"/>
          <w:kern w:val="0"/>
          <w:sz w:val="32"/>
          <w:szCs w:val="32"/>
        </w:rPr>
      </w:pPr>
      <w:r>
        <w:rPr>
          <w:rFonts w:ascii="仿宋" w:hAnsi="仿宋" w:eastAsia="仿宋"/>
          <w:color w:val="000000"/>
          <w:sz w:val="32"/>
          <w:szCs w:val="32"/>
        </w:rPr>
        <w:t>2</w:t>
      </w:r>
      <w:r>
        <w:rPr>
          <w:rFonts w:hint="eastAsia" w:ascii="仿宋" w:hAnsi="仿宋" w:eastAsia="仿宋"/>
          <w:color w:val="000000"/>
          <w:sz w:val="32"/>
          <w:szCs w:val="32"/>
          <w:lang w:val="en-US" w:eastAsia="zh-CN"/>
        </w:rPr>
        <w:t>021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436.9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1584.3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w:t>
      </w:r>
      <w:r>
        <w:rPr>
          <w:rFonts w:ascii="仿宋" w:hAnsi="仿宋" w:eastAsia="仿宋"/>
          <w:color w:val="000000"/>
          <w:sz w:val="32"/>
          <w:szCs w:val="32"/>
        </w:rPr>
        <w:t>%</w:t>
      </w:r>
      <w:r>
        <w:rPr>
          <w:rFonts w:hint="eastAsia" w:ascii="仿宋" w:hAnsi="仿宋" w:eastAsia="仿宋"/>
          <w:color w:val="000000"/>
          <w:sz w:val="32"/>
          <w:szCs w:val="32"/>
        </w:rPr>
        <w:t>。</w:t>
      </w:r>
    </w:p>
    <w:p>
      <w:pPr>
        <w:rPr>
          <w:rFonts w:hint="eastAsia" w:eastAsiaTheme="minorEastAsia"/>
          <w:lang w:eastAsia="zh-CN"/>
        </w:rPr>
      </w:pPr>
      <w:r>
        <w:rPr>
          <w:rFonts w:hint="eastAsia"/>
          <w:lang w:val="en-US" w:eastAsia="zh-CN"/>
        </w:rPr>
        <w:t xml:space="preserve">     </w:t>
      </w: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20" w:lineRule="exact"/>
        <w:ind w:firstLine="480" w:firstLineChars="200"/>
        <w:rPr>
          <w:rFonts w:ascii="仿宋_GB2312" w:eastAsia="仿宋_GB2312"/>
          <w:color w:val="FF0000"/>
          <w:sz w:val="24"/>
          <w:szCs w:val="24"/>
        </w:rPr>
      </w:pPr>
      <w:r>
        <w:rPr>
          <w:rFonts w:hint="eastAsia" w:ascii="仿宋" w:hAnsi="仿宋" w:eastAsia="仿宋"/>
          <w:color w:val="000000" w:themeColor="text1"/>
          <w:sz w:val="24"/>
          <w:szCs w:val="24"/>
          <w14:textFill>
            <w14:solidFill>
              <w14:schemeClr w14:val="tx1"/>
            </w14:solidFill>
          </w14:textFill>
        </w:rPr>
        <w:t>（图3：支出决算结构图）（饼状图）</w:t>
      </w:r>
    </w:p>
    <w:p>
      <w:pPr>
        <w:pageBreakBefore w:val="0"/>
        <w:kinsoku/>
        <w:wordWrap/>
        <w:overflowPunct/>
        <w:topLinePunct w:val="0"/>
        <w:bidi w:val="0"/>
        <w:spacing w:line="520" w:lineRule="exact"/>
        <w:ind w:firstLine="640" w:firstLineChars="200"/>
        <w:outlineLvl w:val="1"/>
        <w:rPr>
          <w:rStyle w:val="15"/>
          <w:rFonts w:ascii="黑体" w:hAnsi="黑体" w:eastAsia="黑体"/>
          <w:b w:val="0"/>
        </w:rPr>
      </w:pPr>
      <w:bookmarkStart w:id="27" w:name="_Toc15377208"/>
      <w:bookmarkStart w:id="28" w:name="_Toc15396606"/>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27"/>
      <w:bookmarkEnd w:id="28"/>
    </w:p>
    <w:p>
      <w:pPr>
        <w:pageBreakBefore w:val="0"/>
        <w:kinsoku/>
        <w:wordWrap/>
        <w:overflowPunct/>
        <w:topLinePunct w:val="0"/>
        <w:bidi w:val="0"/>
        <w:spacing w:line="52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1092.58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54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雪亮工程等项目网络租赁费</w:t>
      </w:r>
      <w:r>
        <w:rPr>
          <w:rFonts w:hint="eastAsia" w:ascii="仿宋" w:hAnsi="仿宋" w:eastAsia="仿宋"/>
          <w:sz w:val="32"/>
          <w:szCs w:val="32"/>
        </w:rPr>
        <w:t>支出</w:t>
      </w:r>
      <w:r>
        <w:rPr>
          <w:rFonts w:hint="eastAsia" w:ascii="仿宋" w:hAnsi="仿宋" w:eastAsia="仿宋"/>
          <w:sz w:val="32"/>
          <w:szCs w:val="32"/>
          <w:lang w:eastAsia="zh-CN"/>
        </w:rPr>
        <w:t>已纳入年初预算</w:t>
      </w:r>
      <w:r>
        <w:rPr>
          <w:rFonts w:hint="eastAsia" w:ascii="仿宋" w:hAnsi="仿宋" w:eastAsia="仿宋"/>
          <w:sz w:val="32"/>
          <w:szCs w:val="32"/>
        </w:rPr>
        <w:t>安排</w:t>
      </w:r>
      <w:r>
        <w:rPr>
          <w:rFonts w:hint="eastAsia" w:ascii="仿宋" w:hAnsi="仿宋" w:eastAsia="仿宋"/>
          <w:sz w:val="32"/>
          <w:szCs w:val="32"/>
          <w:lang w:eastAsia="zh-CN"/>
        </w:rPr>
        <w:t>。</w:t>
      </w:r>
    </w:p>
    <w:p>
      <w:pPr>
        <w:rPr>
          <w:rFonts w:hint="eastAsia"/>
          <w:lang w:val="en-US" w:eastAsia="zh-CN"/>
        </w:rPr>
      </w:pPr>
      <w:r>
        <w:rPr>
          <w:rFonts w:hint="eastAsia"/>
          <w:lang w:val="en-US" w:eastAsia="zh-CN"/>
        </w:rPr>
        <w:t xml:space="preserve">                  </w:t>
      </w:r>
      <w:r>
        <w:drawing>
          <wp:inline distT="0" distB="0" distL="114300" distR="114300">
            <wp:extent cx="5282565" cy="2647315"/>
            <wp:effectExtent l="4445" t="4445" r="8890" b="1524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lang w:val="en-US" w:eastAsia="zh-CN"/>
        </w:rPr>
        <w:t xml:space="preserve">       </w:t>
      </w:r>
    </w:p>
    <w:p>
      <w:pPr>
        <w:rPr>
          <w:rFonts w:hint="eastAsia" w:eastAsiaTheme="minorEastAsia"/>
          <w:lang w:eastAsia="zh-CN"/>
        </w:rPr>
      </w:pPr>
      <w:r>
        <w:rPr>
          <w:rFonts w:hint="eastAsia"/>
          <w:lang w:val="en-US" w:eastAsia="zh-CN"/>
        </w:rPr>
        <w:t xml:space="preserve">         </w:t>
      </w:r>
    </w:p>
    <w:p>
      <w:pPr>
        <w:pageBreakBefore w:val="0"/>
        <w:kinsoku/>
        <w:wordWrap/>
        <w:overflowPunct/>
        <w:topLinePunct w:val="0"/>
        <w:bidi w:val="0"/>
        <w:spacing w:line="52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（图4：财政拨款收、支决算总计变动情况）（柱状图）</w:t>
      </w:r>
    </w:p>
    <w:p>
      <w:pPr>
        <w:pageBreakBefore w:val="0"/>
        <w:kinsoku/>
        <w:wordWrap/>
        <w:overflowPunct/>
        <w:topLinePunct w:val="0"/>
        <w:bidi w:val="0"/>
        <w:spacing w:line="520" w:lineRule="exact"/>
        <w:ind w:firstLine="640"/>
        <w:rPr>
          <w:rFonts w:ascii="仿宋" w:hAnsi="仿宋" w:eastAsia="仿宋"/>
          <w:b/>
          <w:color w:val="00B050"/>
          <w:sz w:val="32"/>
          <w:szCs w:val="32"/>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pageBreakBefore w:val="0"/>
        <w:kinsoku/>
        <w:wordWrap/>
        <w:overflowPunct/>
        <w:topLinePunct w:val="0"/>
        <w:bidi w:val="0"/>
        <w:spacing w:line="520" w:lineRule="exact"/>
        <w:ind w:firstLine="640" w:firstLineChars="200"/>
        <w:outlineLvl w:val="1"/>
        <w:rPr>
          <w:rStyle w:val="15"/>
          <w:rFonts w:ascii="黑体" w:hAnsi="黑体" w:eastAsia="黑体"/>
          <w:b w:val="0"/>
        </w:rPr>
      </w:pPr>
      <w:bookmarkStart w:id="29" w:name="_Toc15377209"/>
      <w:bookmarkStart w:id="30"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29"/>
      <w:bookmarkEnd w:id="30"/>
    </w:p>
    <w:p>
      <w:pPr>
        <w:pageBreakBefore w:val="0"/>
        <w:kinsoku/>
        <w:wordWrap/>
        <w:overflowPunct/>
        <w:topLinePunct w:val="0"/>
        <w:bidi w:val="0"/>
        <w:spacing w:line="520" w:lineRule="exact"/>
        <w:ind w:firstLine="643" w:firstLineChars="200"/>
        <w:outlineLvl w:val="2"/>
        <w:rPr>
          <w:rFonts w:hint="eastAsia" w:ascii="楷体_GB2312" w:hAnsi="楷体_GB2312" w:eastAsia="楷体_GB2312" w:cs="楷体_GB2312"/>
          <w:b/>
          <w:bCs w:val="0"/>
          <w:color w:val="000000"/>
          <w:sz w:val="32"/>
          <w:szCs w:val="32"/>
        </w:rPr>
      </w:pPr>
      <w:bookmarkStart w:id="31" w:name="_Toc15377210"/>
      <w:r>
        <w:rPr>
          <w:rFonts w:hint="eastAsia" w:ascii="楷体_GB2312" w:hAnsi="楷体_GB2312" w:eastAsia="楷体_GB2312" w:cs="楷体_GB2312"/>
          <w:b/>
          <w:bCs w:val="0"/>
          <w:color w:val="000000"/>
          <w:sz w:val="32"/>
          <w:szCs w:val="32"/>
        </w:rPr>
        <w:t>（一）一般公共预算财政拨款支出决算总体情况</w:t>
      </w:r>
      <w:bookmarkEnd w:id="31"/>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1092.58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54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雪亮工程等项目网络租赁费</w:t>
      </w:r>
      <w:r>
        <w:rPr>
          <w:rFonts w:hint="eastAsia" w:ascii="仿宋" w:hAnsi="仿宋" w:eastAsia="仿宋"/>
          <w:sz w:val="32"/>
          <w:szCs w:val="32"/>
        </w:rPr>
        <w:t>支出</w:t>
      </w:r>
      <w:r>
        <w:rPr>
          <w:rFonts w:hint="eastAsia" w:ascii="仿宋" w:hAnsi="仿宋" w:eastAsia="仿宋"/>
          <w:sz w:val="32"/>
          <w:szCs w:val="32"/>
          <w:lang w:eastAsia="zh-CN"/>
        </w:rPr>
        <w:t>已纳入年初预算</w:t>
      </w:r>
      <w:r>
        <w:rPr>
          <w:rFonts w:hint="eastAsia" w:ascii="仿宋" w:hAnsi="仿宋" w:eastAsia="仿宋"/>
          <w:sz w:val="32"/>
          <w:szCs w:val="32"/>
        </w:rPr>
        <w:t>安排</w:t>
      </w:r>
      <w:r>
        <w:rPr>
          <w:rFonts w:hint="eastAsia" w:ascii="仿宋" w:hAnsi="仿宋" w:eastAsia="仿宋"/>
          <w:sz w:val="32"/>
          <w:szCs w:val="32"/>
          <w:lang w:eastAsia="zh-CN"/>
        </w:rPr>
        <w:t>。</w:t>
      </w:r>
      <w:r>
        <w:drawing>
          <wp:inline distT="0" distB="0" distL="114300" distR="114300">
            <wp:extent cx="5282565" cy="2647315"/>
            <wp:effectExtent l="4445" t="4445" r="8890" b="1524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color w:val="000000"/>
          <w:sz w:val="32"/>
          <w:szCs w:val="32"/>
          <w:lang w:val="en-US" w:eastAsia="zh-CN"/>
        </w:rPr>
        <w:t xml:space="preserve">          </w:t>
      </w:r>
      <w:r>
        <w:rPr>
          <w:rFonts w:hint="eastAsia" w:ascii="仿宋" w:hAnsi="仿宋" w:eastAsia="仿宋"/>
          <w:color w:val="FFFFFF" w:themeColor="background1"/>
          <w:sz w:val="32"/>
          <w:szCs w:val="32"/>
          <w:lang w:eastAsia="zh-CN"/>
          <w14:textFill>
            <w14:solidFill>
              <w14:schemeClr w14:val="bg1"/>
            </w14:solidFill>
          </w14:textFill>
        </w:rPr>
        <w:t>。</w:t>
      </w:r>
      <w:r>
        <w:rPr>
          <w:rFonts w:hint="eastAsia" w:ascii="仿宋" w:hAnsi="仿宋" w:eastAsia="仿宋"/>
          <w:sz w:val="32"/>
          <w:szCs w:val="32"/>
          <w:lang w:val="en-US" w:eastAsia="zh-CN"/>
        </w:rPr>
        <w:t xml:space="preserve">                                               </w:t>
      </w:r>
    </w:p>
    <w:p>
      <w:pPr>
        <w:pageBreakBefore w:val="0"/>
        <w:kinsoku/>
        <w:wordWrap/>
        <w:overflowPunct/>
        <w:topLinePunct w:val="0"/>
        <w:bidi w:val="0"/>
        <w:spacing w:line="52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（图5：一般公共预算财政拨款支出决算变动情况）（柱状图）</w:t>
      </w:r>
    </w:p>
    <w:p>
      <w:pPr>
        <w:pageBreakBefore w:val="0"/>
        <w:kinsoku/>
        <w:wordWrap/>
        <w:overflowPunct/>
        <w:topLinePunct w:val="0"/>
        <w:bidi w:val="0"/>
        <w:spacing w:line="520" w:lineRule="exact"/>
        <w:ind w:firstLine="643" w:firstLineChars="200"/>
        <w:outlineLvl w:val="2"/>
        <w:rPr>
          <w:rFonts w:hint="eastAsia" w:ascii="楷体_GB2312" w:hAnsi="楷体_GB2312" w:eastAsia="楷体_GB2312" w:cs="楷体_GB2312"/>
          <w:b/>
          <w:color w:val="000000"/>
          <w:sz w:val="32"/>
          <w:szCs w:val="32"/>
        </w:rPr>
      </w:pPr>
      <w:bookmarkStart w:id="32" w:name="_Toc15377211"/>
      <w:r>
        <w:rPr>
          <w:rFonts w:hint="eastAsia" w:ascii="楷体_GB2312" w:hAnsi="楷体_GB2312" w:eastAsia="楷体_GB2312" w:cs="楷体_GB2312"/>
          <w:b/>
          <w:color w:val="000000"/>
          <w:sz w:val="32"/>
          <w:szCs w:val="32"/>
        </w:rPr>
        <w:t>（二）一般公共预算财政拨款支出决算结构情况</w:t>
      </w:r>
      <w:bookmarkEnd w:id="32"/>
    </w:p>
    <w:p>
      <w:pPr>
        <w:pageBreakBefore w:val="0"/>
        <w:kinsoku/>
        <w:wordWrap/>
        <w:overflowPunct/>
        <w:topLinePunct w:val="0"/>
        <w:bidi w:val="0"/>
        <w:spacing w:line="52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2021.2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1637.5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城乡社区支出314.6万元，占15%；</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28.4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19.4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21.3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rPr>
          <w:rFonts w:hint="eastAsia" w:ascii="仿宋" w:hAnsi="仿宋" w:eastAsia="仿宋"/>
          <w:sz w:val="32"/>
          <w:szCs w:val="32"/>
          <w:lang w:eastAsia="zh-CN"/>
        </w:rPr>
      </w:pPr>
      <w:r>
        <w:drawing>
          <wp:inline distT="0" distB="0" distL="114300" distR="114300">
            <wp:extent cx="5230495" cy="2736850"/>
            <wp:effectExtent l="4445" t="4445" r="22860" b="2095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（图6：一般公共预算财政拨款支出决算结构）（饼状图）</w:t>
      </w:r>
    </w:p>
    <w:p>
      <w:pPr>
        <w:pageBreakBefore w:val="0"/>
        <w:kinsoku/>
        <w:wordWrap/>
        <w:overflowPunct/>
        <w:topLinePunct w:val="0"/>
        <w:bidi w:val="0"/>
        <w:spacing w:line="520" w:lineRule="exact"/>
        <w:ind w:firstLine="643" w:firstLineChars="200"/>
        <w:outlineLvl w:val="2"/>
        <w:rPr>
          <w:rFonts w:ascii="仿宋" w:hAnsi="仿宋" w:eastAsia="仿宋"/>
          <w:b/>
          <w:color w:val="000000"/>
          <w:sz w:val="32"/>
          <w:szCs w:val="32"/>
        </w:rPr>
      </w:pPr>
      <w:bookmarkStart w:id="33" w:name="_Toc15377212"/>
      <w:r>
        <w:rPr>
          <w:rFonts w:hint="eastAsia" w:ascii="楷体_GB2312" w:hAnsi="楷体_GB2312" w:eastAsia="楷体_GB2312" w:cs="楷体_GB2312"/>
          <w:b/>
          <w:color w:val="000000"/>
          <w:sz w:val="32"/>
          <w:szCs w:val="32"/>
        </w:rPr>
        <w:t>（三）一般公共预算财政拨款支出决算具体情况</w:t>
      </w:r>
      <w:bookmarkEnd w:id="33"/>
    </w:p>
    <w:p>
      <w:pPr>
        <w:pageBreakBefore w:val="0"/>
        <w:kinsoku/>
        <w:wordWrap/>
        <w:overflowPunct/>
        <w:topLinePunct w:val="0"/>
        <w:bidi w:val="0"/>
        <w:spacing w:line="520" w:lineRule="exact"/>
        <w:ind w:firstLine="643" w:firstLineChars="200"/>
        <w:outlineLvl w:val="2"/>
        <w:rPr>
          <w:rFonts w:ascii="仿宋" w:hAnsi="仿宋" w:eastAsia="仿宋"/>
          <w:color w:val="FF0000"/>
          <w:sz w:val="32"/>
          <w:szCs w:val="32"/>
        </w:rPr>
      </w:pPr>
      <w:bookmarkStart w:id="34" w:name="_Toc15377213"/>
      <w:bookmarkStart w:id="35" w:name="_Toc15378460"/>
      <w:bookmarkStart w:id="36" w:name="_Toc15377444"/>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21</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2021.2万元</w:t>
      </w:r>
      <w:r>
        <w:rPr>
          <w:rFonts w:hint="eastAsia" w:ascii="仿宋" w:hAnsi="仿宋" w:eastAsia="仿宋"/>
          <w:color w:val="000000" w:themeColor="text1"/>
          <w:sz w:val="32"/>
          <w:szCs w:val="32"/>
          <w14:textFill>
            <w14:solidFill>
              <w14:schemeClr w14:val="tx1"/>
            </w14:solidFill>
          </w14:textFill>
        </w:rPr>
        <w:t>，</w:t>
      </w:r>
      <w:r>
        <w:rPr>
          <w:rStyle w:val="12"/>
          <w:rFonts w:hint="eastAsia" w:ascii="仿宋" w:hAnsi="仿宋" w:eastAsia="仿宋"/>
          <w:bCs/>
          <w:color w:val="000000" w:themeColor="text1"/>
          <w:sz w:val="32"/>
          <w:szCs w:val="32"/>
          <w14:textFill>
            <w14:solidFill>
              <w14:schemeClr w14:val="tx1"/>
            </w14:solidFill>
          </w14:textFill>
        </w:rPr>
        <w:t>完成</w:t>
      </w:r>
      <w:r>
        <w:rPr>
          <w:rStyle w:val="12"/>
          <w:rFonts w:hint="eastAsia" w:ascii="仿宋" w:hAnsi="仿宋" w:eastAsia="仿宋"/>
          <w:bCs/>
          <w:color w:val="000000"/>
          <w:sz w:val="32"/>
          <w:szCs w:val="32"/>
        </w:rPr>
        <w:t>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34"/>
      <w:bookmarkEnd w:id="35"/>
      <w:bookmarkEnd w:id="36"/>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Style w:val="12"/>
          <w:rFonts w:ascii="仿宋" w:hAnsi="仿宋" w:eastAsia="仿宋"/>
          <w:b w:val="0"/>
          <w:bCs/>
          <w:color w:val="000000"/>
          <w:sz w:val="32"/>
          <w:szCs w:val="32"/>
        </w:rPr>
        <w:t>1.</w:t>
      </w:r>
      <w:r>
        <w:rPr>
          <w:rStyle w:val="12"/>
          <w:rFonts w:hint="eastAsia" w:ascii="仿宋" w:hAnsi="仿宋" w:eastAsia="仿宋"/>
          <w:b w:val="0"/>
          <w:bCs/>
          <w:color w:val="000000"/>
          <w:sz w:val="32"/>
          <w:szCs w:val="32"/>
        </w:rPr>
        <w:t>一般公共服务（类）</w:t>
      </w:r>
      <w:r>
        <w:rPr>
          <w:rFonts w:hint="eastAsia" w:ascii="仿宋" w:hAnsi="仿宋" w:eastAsia="仿宋"/>
          <w:color w:val="000000"/>
          <w:sz w:val="32"/>
          <w:szCs w:val="32"/>
        </w:rPr>
        <w:t>党委办公厅（室）及相关机构事务</w:t>
      </w:r>
      <w:r>
        <w:rPr>
          <w:rStyle w:val="12"/>
          <w:rFonts w:hint="eastAsia" w:ascii="仿宋" w:hAnsi="仿宋" w:eastAsia="仿宋"/>
          <w:b w:val="0"/>
          <w:bCs/>
          <w:color w:val="000000"/>
          <w:sz w:val="32"/>
          <w:szCs w:val="32"/>
        </w:rPr>
        <w:t>（款）</w:t>
      </w:r>
      <w:r>
        <w:rPr>
          <w:rFonts w:hint="eastAsia" w:ascii="仿宋" w:hAnsi="仿宋" w:eastAsia="仿宋"/>
          <w:color w:val="000000"/>
          <w:sz w:val="32"/>
          <w:szCs w:val="32"/>
        </w:rPr>
        <w:t>行政运行</w:t>
      </w:r>
      <w:r>
        <w:rPr>
          <w:rStyle w:val="12"/>
          <w:rFonts w:hint="eastAsia" w:ascii="仿宋" w:hAnsi="仿宋" w:eastAsia="仿宋"/>
          <w:b w:val="0"/>
          <w:bCs/>
          <w:color w:val="000000"/>
          <w:sz w:val="32"/>
          <w:szCs w:val="32"/>
        </w:rPr>
        <w:t>（项）</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1637.5</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sz w:val="32"/>
          <w:szCs w:val="32"/>
        </w:rPr>
        <w:t>。</w:t>
      </w:r>
    </w:p>
    <w:p>
      <w:pPr>
        <w:pageBreakBefore w:val="0"/>
        <w:kinsoku/>
        <w:wordWrap/>
        <w:overflowPunct/>
        <w:topLinePunct w:val="0"/>
        <w:bidi w:val="0"/>
        <w:spacing w:line="520" w:lineRule="exact"/>
        <w:ind w:firstLine="640" w:firstLineChars="200"/>
        <w:rPr>
          <w:rFonts w:ascii="仿宋" w:hAnsi="仿宋" w:eastAsia="仿宋"/>
          <w:bCs/>
          <w:color w:val="000000"/>
          <w:sz w:val="32"/>
          <w:szCs w:val="32"/>
        </w:rPr>
      </w:pPr>
      <w:r>
        <w:rPr>
          <w:rStyle w:val="12"/>
          <w:rFonts w:ascii="仿宋" w:hAnsi="仿宋" w:eastAsia="仿宋"/>
          <w:b w:val="0"/>
          <w:bCs/>
          <w:color w:val="000000"/>
          <w:sz w:val="32"/>
          <w:szCs w:val="32"/>
        </w:rPr>
        <w:t>2.</w:t>
      </w:r>
      <w:r>
        <w:rPr>
          <w:rFonts w:hint="eastAsia" w:ascii="仿宋" w:hAnsi="仿宋" w:eastAsia="仿宋"/>
          <w:color w:val="000000"/>
          <w:sz w:val="32"/>
          <w:szCs w:val="32"/>
        </w:rPr>
        <w:t>一般公共服务（类）党委办公厅（室）及相关机构事务（款）一般行政管理事务（项）</w:t>
      </w:r>
      <w:r>
        <w:rPr>
          <w:rFonts w:hint="eastAsia" w:ascii="仿宋" w:hAnsi="仿宋" w:eastAsia="仿宋"/>
          <w:bCs/>
          <w:sz w:val="32"/>
          <w:szCs w:val="32"/>
        </w:rPr>
        <w:t>:支出决算为</w:t>
      </w:r>
      <w:r>
        <w:rPr>
          <w:rFonts w:hint="eastAsia" w:ascii="仿宋" w:hAnsi="仿宋" w:eastAsia="仿宋"/>
          <w:bCs/>
          <w:sz w:val="32"/>
          <w:szCs w:val="32"/>
          <w:lang w:val="en-US" w:eastAsia="zh-CN"/>
        </w:rPr>
        <w:t>1584.3</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Style w:val="12"/>
          <w:rFonts w:hint="eastAsia" w:ascii="仿宋" w:hAnsi="仿宋" w:eastAsia="仿宋"/>
          <w:b w:val="0"/>
          <w:bCs/>
          <w:color w:val="000000"/>
          <w:sz w:val="32"/>
          <w:szCs w:val="32"/>
        </w:rPr>
        <w:t>3</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社会保障和就业（类）</w:t>
      </w:r>
      <w:r>
        <w:rPr>
          <w:rFonts w:hint="eastAsia" w:ascii="仿宋" w:hAnsi="仿宋" w:eastAsia="仿宋"/>
          <w:color w:val="000000"/>
          <w:sz w:val="32"/>
          <w:szCs w:val="32"/>
        </w:rPr>
        <w:t>财政对社会保险基金的补助（款）财政对基本养老保险基金的补助（</w:t>
      </w:r>
      <w:r>
        <w:rPr>
          <w:rStyle w:val="12"/>
          <w:rFonts w:hint="eastAsia" w:ascii="仿宋" w:hAnsi="仿宋" w:eastAsia="仿宋"/>
          <w:b w:val="0"/>
          <w:bCs/>
          <w:color w:val="000000"/>
          <w:sz w:val="32"/>
          <w:szCs w:val="32"/>
        </w:rPr>
        <w:t>项）</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28.4</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0" w:firstLineChars="200"/>
        <w:rPr>
          <w:rFonts w:ascii="仿宋" w:hAnsi="仿宋" w:eastAsia="仿宋"/>
          <w:b/>
          <w:color w:val="000000"/>
          <w:sz w:val="32"/>
          <w:szCs w:val="32"/>
        </w:rPr>
      </w:pPr>
      <w:r>
        <w:rPr>
          <w:rStyle w:val="12"/>
          <w:rFonts w:hint="eastAsia" w:ascii="仿宋" w:hAnsi="仿宋" w:eastAsia="仿宋"/>
          <w:b w:val="0"/>
          <w:bCs/>
          <w:color w:val="000000"/>
          <w:sz w:val="32"/>
          <w:szCs w:val="32"/>
        </w:rPr>
        <w:t>4</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医疗卫生与计划生育（类）</w:t>
      </w:r>
      <w:r>
        <w:rPr>
          <w:rFonts w:hint="eastAsia" w:ascii="仿宋" w:hAnsi="仿宋" w:eastAsia="仿宋"/>
          <w:color w:val="000000"/>
          <w:sz w:val="32"/>
          <w:szCs w:val="32"/>
        </w:rPr>
        <w:t>财政对社会保险基金的补助（款）财政对失业保险基金的补助</w:t>
      </w:r>
      <w:r>
        <w:rPr>
          <w:rStyle w:val="12"/>
          <w:rFonts w:hint="eastAsia" w:ascii="仿宋" w:hAnsi="仿宋" w:eastAsia="仿宋"/>
          <w:b w:val="0"/>
          <w:bCs w:val="0"/>
          <w:color w:val="000000"/>
          <w:sz w:val="32"/>
          <w:szCs w:val="32"/>
        </w:rPr>
        <w:t>（项）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支出决算为0.</w:t>
      </w:r>
      <w:r>
        <w:rPr>
          <w:rStyle w:val="12"/>
          <w:rFonts w:hint="eastAsia" w:ascii="仿宋" w:hAnsi="仿宋" w:eastAsia="仿宋"/>
          <w:b w:val="0"/>
          <w:bCs/>
          <w:color w:val="000000"/>
          <w:sz w:val="32"/>
          <w:szCs w:val="32"/>
          <w:lang w:val="en-US" w:eastAsia="zh-CN"/>
        </w:rPr>
        <w:t>43</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Fonts w:hint="eastAsia" w:ascii="仿宋" w:hAnsi="仿宋" w:eastAsia="仿宋"/>
          <w:bCs/>
          <w:sz w:val="32"/>
          <w:szCs w:val="32"/>
        </w:rPr>
        <w:t>5.</w:t>
      </w:r>
      <w:r>
        <w:rPr>
          <w:rFonts w:hint="eastAsia" w:ascii="仿宋" w:hAnsi="仿宋" w:eastAsia="仿宋"/>
          <w:color w:val="000000"/>
          <w:sz w:val="32"/>
          <w:szCs w:val="32"/>
        </w:rPr>
        <w:t>社会保障和就业（类）财政对社会保险基金的补助（款）财政对工伤保险基金的补助（项）</w:t>
      </w:r>
      <w:r>
        <w:rPr>
          <w:rFonts w:hint="eastAsia" w:ascii="仿宋" w:hAnsi="仿宋" w:eastAsia="仿宋"/>
          <w:bCs/>
          <w:sz w:val="32"/>
          <w:szCs w:val="32"/>
        </w:rPr>
        <w:t>: 支出决算为</w:t>
      </w:r>
      <w:r>
        <w:rPr>
          <w:rFonts w:hint="eastAsia" w:ascii="仿宋" w:hAnsi="仿宋" w:eastAsia="仿宋"/>
          <w:bCs/>
          <w:sz w:val="32"/>
          <w:szCs w:val="32"/>
          <w:lang w:val="en-US" w:eastAsia="zh-CN"/>
        </w:rPr>
        <w:t>0.32</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firstLineChars="200"/>
        <w:rPr>
          <w:rFonts w:ascii="仿宋" w:hAnsi="仿宋" w:eastAsia="仿宋"/>
          <w:bCs/>
          <w:sz w:val="32"/>
          <w:szCs w:val="32"/>
        </w:rPr>
      </w:pPr>
      <w:r>
        <w:rPr>
          <w:rFonts w:hint="eastAsia" w:ascii="仿宋" w:hAnsi="仿宋" w:eastAsia="仿宋"/>
          <w:bCs/>
          <w:sz w:val="32"/>
          <w:szCs w:val="32"/>
        </w:rPr>
        <w:t>6.</w:t>
      </w:r>
      <w:r>
        <w:rPr>
          <w:rFonts w:hint="eastAsia" w:ascii="仿宋" w:hAnsi="仿宋" w:eastAsia="仿宋"/>
          <w:color w:val="000000"/>
          <w:sz w:val="32"/>
          <w:szCs w:val="32"/>
        </w:rPr>
        <w:t>社会保障和就业（类）财政对社会保险基金的补助（款）财政对生育保险基金的补助（项）</w:t>
      </w:r>
      <w:r>
        <w:rPr>
          <w:rFonts w:hint="eastAsia" w:ascii="仿宋" w:hAnsi="仿宋" w:eastAsia="仿宋"/>
          <w:bCs/>
          <w:sz w:val="32"/>
          <w:szCs w:val="32"/>
        </w:rPr>
        <w:t>:支出决算为</w:t>
      </w:r>
      <w:r>
        <w:rPr>
          <w:rFonts w:hint="eastAsia" w:ascii="仿宋" w:hAnsi="仿宋" w:eastAsia="仿宋"/>
          <w:bCs/>
          <w:sz w:val="32"/>
          <w:szCs w:val="32"/>
          <w:lang w:val="en-US" w:eastAsia="zh-CN"/>
        </w:rPr>
        <w:t>1.06</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Fonts w:hint="eastAsia" w:ascii="仿宋" w:hAnsi="仿宋" w:eastAsia="仿宋"/>
          <w:bCs/>
          <w:sz w:val="32"/>
          <w:szCs w:val="32"/>
        </w:rPr>
        <w:t>7.</w:t>
      </w:r>
      <w:r>
        <w:rPr>
          <w:rFonts w:hint="eastAsia" w:ascii="仿宋" w:hAnsi="仿宋" w:eastAsia="仿宋"/>
          <w:color w:val="000000"/>
          <w:sz w:val="32"/>
          <w:szCs w:val="32"/>
        </w:rPr>
        <w:t>医疗卫生与计划生育（类）医疗保障（款）行政单位医疗（项）:</w:t>
      </w:r>
      <w:r>
        <w:rPr>
          <w:rFonts w:hint="eastAsia" w:ascii="仿宋" w:hAnsi="仿宋" w:eastAsia="仿宋"/>
          <w:bCs/>
          <w:sz w:val="32"/>
          <w:szCs w:val="32"/>
        </w:rPr>
        <w:t xml:space="preserve"> 支出决算为</w:t>
      </w:r>
      <w:r>
        <w:rPr>
          <w:rFonts w:hint="eastAsia" w:ascii="仿宋" w:hAnsi="仿宋" w:eastAsia="仿宋"/>
          <w:bCs/>
          <w:sz w:val="32"/>
          <w:szCs w:val="32"/>
          <w:lang w:val="en-US" w:eastAsia="zh-CN"/>
        </w:rPr>
        <w:t>16.43</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firstLineChars="200"/>
        <w:rPr>
          <w:rFonts w:ascii="仿宋" w:hAnsi="仿宋" w:eastAsia="仿宋"/>
          <w:bCs/>
          <w:sz w:val="32"/>
          <w:szCs w:val="32"/>
        </w:rPr>
      </w:pPr>
      <w:r>
        <w:rPr>
          <w:rFonts w:hint="eastAsia" w:ascii="仿宋" w:hAnsi="仿宋" w:eastAsia="仿宋"/>
          <w:color w:val="000000"/>
          <w:sz w:val="32"/>
          <w:szCs w:val="32"/>
        </w:rPr>
        <w:t>8.医疗卫生与计划生育（类）医疗保障（款）公务员医疗补助（项）:</w:t>
      </w:r>
      <w:r>
        <w:rPr>
          <w:rFonts w:hint="eastAsia" w:ascii="仿宋" w:hAnsi="仿宋" w:eastAsia="仿宋"/>
          <w:bCs/>
          <w:sz w:val="32"/>
          <w:szCs w:val="32"/>
        </w:rPr>
        <w:t xml:space="preserve"> 支出决算</w:t>
      </w:r>
      <w:r>
        <w:rPr>
          <w:rFonts w:hint="eastAsia" w:ascii="仿宋" w:hAnsi="仿宋" w:eastAsia="仿宋"/>
          <w:bCs/>
          <w:sz w:val="32"/>
          <w:szCs w:val="32"/>
          <w:lang w:val="en-US" w:eastAsia="zh-CN"/>
        </w:rPr>
        <w:t>2.94</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9.住房保障支出（类）住房改革支出（款）住房公积金（项）：</w:t>
      </w:r>
      <w:r>
        <w:rPr>
          <w:rFonts w:hint="eastAsia" w:ascii="仿宋" w:hAnsi="仿宋" w:eastAsia="仿宋"/>
          <w:bCs/>
          <w:sz w:val="32"/>
          <w:szCs w:val="32"/>
        </w:rPr>
        <w:t>支出决算为</w:t>
      </w:r>
      <w:r>
        <w:rPr>
          <w:rFonts w:hint="eastAsia" w:ascii="仿宋" w:hAnsi="仿宋" w:eastAsia="仿宋"/>
          <w:bCs/>
          <w:sz w:val="32"/>
          <w:szCs w:val="32"/>
          <w:lang w:val="en-US" w:eastAsia="zh-CN"/>
        </w:rPr>
        <w:t>21.3</w:t>
      </w:r>
      <w:r>
        <w:rPr>
          <w:rFonts w:hint="eastAsia" w:ascii="仿宋" w:hAnsi="仿宋" w:eastAsia="仿宋"/>
          <w:bCs/>
          <w:sz w:val="32"/>
          <w:szCs w:val="32"/>
        </w:rPr>
        <w:t>万元，完成预算100%。</w:t>
      </w:r>
    </w:p>
    <w:p>
      <w:pPr>
        <w:pageBreakBefore w:val="0"/>
        <w:kinsoku/>
        <w:wordWrap/>
        <w:overflowPunct/>
        <w:topLinePunct w:val="0"/>
        <w:bidi w:val="0"/>
        <w:spacing w:line="520" w:lineRule="exact"/>
        <w:ind w:firstLine="640"/>
        <w:rPr>
          <w:rFonts w:ascii="仿宋" w:hAnsi="仿宋" w:eastAsia="仿宋"/>
          <w:b/>
          <w:color w:val="000000"/>
          <w:sz w:val="32"/>
          <w:szCs w:val="32"/>
        </w:rPr>
      </w:pPr>
      <w:r>
        <w:rPr>
          <w:rFonts w:hint="eastAsia" w:ascii="仿宋" w:hAnsi="仿宋" w:eastAsia="仿宋"/>
          <w:b/>
          <w:color w:val="000000"/>
          <w:sz w:val="32"/>
          <w:szCs w:val="32"/>
        </w:rPr>
        <w:t>（罗列全部功能分类科目至项级。上述“预算”口径为调整预算数。增减变动原因为决算数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pageBreakBefore w:val="0"/>
        <w:tabs>
          <w:tab w:val="right" w:pos="8306"/>
        </w:tabs>
        <w:kinsoku/>
        <w:wordWrap/>
        <w:overflowPunct/>
        <w:topLinePunct w:val="0"/>
        <w:bidi w:val="0"/>
        <w:spacing w:line="520" w:lineRule="exact"/>
        <w:ind w:firstLine="640"/>
        <w:outlineLvl w:val="1"/>
        <w:rPr>
          <w:rStyle w:val="15"/>
        </w:rPr>
      </w:pPr>
      <w:bookmarkStart w:id="37" w:name="_Toc15377214"/>
      <w:bookmarkStart w:id="38"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37"/>
      <w:bookmarkEnd w:id="38"/>
      <w:r>
        <w:rPr>
          <w:rStyle w:val="15"/>
          <w:rFonts w:ascii="黑体" w:hAnsi="黑体" w:eastAsia="黑体"/>
          <w:b w:val="0"/>
        </w:rPr>
        <w:tab/>
      </w:r>
    </w:p>
    <w:p>
      <w:pPr>
        <w:pageBreakBefore w:val="0"/>
        <w:kinsoku/>
        <w:wordWrap/>
        <w:overflowPunct/>
        <w:topLinePunct w:val="0"/>
        <w:bidi w:val="0"/>
        <w:spacing w:line="52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436.9</w:t>
      </w:r>
      <w:r>
        <w:rPr>
          <w:rFonts w:hint="eastAsia" w:ascii="仿宋" w:hAnsi="仿宋" w:eastAsia="仿宋"/>
          <w:color w:val="000000"/>
          <w:sz w:val="32"/>
          <w:szCs w:val="32"/>
        </w:rPr>
        <w:t>万元，其中：</w:t>
      </w:r>
    </w:p>
    <w:p>
      <w:pPr>
        <w:pageBreakBefore w:val="0"/>
        <w:kinsoku/>
        <w:wordWrap/>
        <w:overflowPunct/>
        <w:topLinePunct w:val="0"/>
        <w:bidi w:val="0"/>
        <w:spacing w:line="52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372.7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w:t>
      </w:r>
      <w:r>
        <w:rPr>
          <w:rFonts w:hint="eastAsia" w:ascii="仿宋" w:hAnsi="仿宋" w:eastAsia="仿宋"/>
          <w:color w:val="000000"/>
          <w:sz w:val="32"/>
          <w:szCs w:val="32"/>
          <w:lang w:eastAsia="zh-CN"/>
        </w:rPr>
        <w:t>金</w:t>
      </w:r>
      <w:r>
        <w:rPr>
          <w:rFonts w:hint="eastAsia" w:ascii="仿宋" w:hAnsi="仿宋" w:eastAsia="仿宋"/>
          <w:color w:val="000000"/>
          <w:sz w:val="32"/>
          <w:szCs w:val="32"/>
          <w:lang w:val="en-US" w:eastAsia="zh-CN"/>
        </w:rPr>
        <w:t>64.2</w:t>
      </w:r>
      <w:r>
        <w:rPr>
          <w:rFonts w:hint="eastAsia" w:ascii="仿宋" w:hAnsi="仿宋" w:eastAsia="仿宋"/>
          <w:color w:val="000000"/>
          <w:sz w:val="32"/>
          <w:szCs w:val="32"/>
        </w:rPr>
        <w:t>万元，主要包括：办公费、印刷费、咨询费、</w:t>
      </w:r>
      <w:r>
        <w:rPr>
          <w:rFonts w:hint="eastAsia" w:ascii="仿宋" w:hAnsi="仿宋" w:eastAsia="仿宋"/>
          <w:color w:val="000000"/>
          <w:sz w:val="32"/>
          <w:szCs w:val="32"/>
          <w:lang w:eastAsia="zh-CN"/>
        </w:rPr>
        <w:t>租赁费、</w:t>
      </w:r>
      <w:r>
        <w:rPr>
          <w:rFonts w:hint="eastAsia" w:ascii="仿宋" w:hAnsi="仿宋" w:eastAsia="仿宋"/>
          <w:color w:val="000000"/>
          <w:sz w:val="32"/>
          <w:szCs w:val="32"/>
        </w:rPr>
        <w:t>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20" w:lineRule="exact"/>
        <w:ind w:firstLine="640"/>
        <w:outlineLvl w:val="1"/>
        <w:rPr>
          <w:rStyle w:val="15"/>
          <w:rFonts w:ascii="黑体" w:hAnsi="黑体" w:eastAsia="黑体"/>
          <w:b w:val="0"/>
        </w:rPr>
      </w:pPr>
      <w:bookmarkStart w:id="39" w:name="_Toc15396609"/>
      <w:bookmarkStart w:id="40" w:name="_Toc15377215"/>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39"/>
      <w:bookmarkEnd w:id="40"/>
    </w:p>
    <w:p>
      <w:pPr>
        <w:pageBreakBefore w:val="0"/>
        <w:kinsoku/>
        <w:wordWrap/>
        <w:overflowPunct/>
        <w:topLinePunct w:val="0"/>
        <w:bidi w:val="0"/>
        <w:spacing w:line="520" w:lineRule="exact"/>
        <w:ind w:firstLine="640"/>
        <w:outlineLvl w:val="2"/>
        <w:rPr>
          <w:rFonts w:ascii="仿宋" w:hAnsi="仿宋" w:eastAsia="仿宋"/>
          <w:b/>
          <w:color w:val="000000"/>
          <w:sz w:val="32"/>
          <w:szCs w:val="32"/>
        </w:rPr>
      </w:pPr>
      <w:bookmarkStart w:id="41" w:name="_Toc15377216"/>
      <w:r>
        <w:rPr>
          <w:rFonts w:hint="eastAsia" w:ascii="楷体_GB2312" w:hAnsi="楷体_GB2312" w:eastAsia="楷体_GB2312" w:cs="楷体_GB2312"/>
          <w:b/>
          <w:color w:val="000000"/>
          <w:sz w:val="32"/>
          <w:szCs w:val="32"/>
        </w:rPr>
        <w:t>（一）“三公”经费财政拨款支出决算总体情况说明</w:t>
      </w:r>
      <w:bookmarkEnd w:id="41"/>
    </w:p>
    <w:p>
      <w:pPr>
        <w:pageBreakBefore w:val="0"/>
        <w:kinsoku/>
        <w:wordWrap/>
        <w:overflowPunct/>
        <w:topLinePunct w:val="0"/>
        <w:bidi w:val="0"/>
        <w:spacing w:line="52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1.98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，决算数小于预算数（或与预算数持平）的主要原因是接待执行公务、开展业务活动人数减少。</w:t>
      </w:r>
    </w:p>
    <w:p>
      <w:pPr>
        <w:pageBreakBefore w:val="0"/>
        <w:kinsoku/>
        <w:wordWrap/>
        <w:overflowPunct/>
        <w:topLinePunct w:val="0"/>
        <w:bidi w:val="0"/>
        <w:spacing w:line="52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pageBreakBefore w:val="0"/>
        <w:kinsoku/>
        <w:wordWrap/>
        <w:overflowPunct/>
        <w:topLinePunct w:val="0"/>
        <w:bidi w:val="0"/>
        <w:spacing w:line="520" w:lineRule="exact"/>
        <w:ind w:firstLine="640"/>
        <w:outlineLvl w:val="2"/>
        <w:rPr>
          <w:rFonts w:hint="eastAsia" w:ascii="楷体_GB2312" w:hAnsi="楷体_GB2312" w:eastAsia="楷体_GB2312" w:cs="楷体_GB2312"/>
          <w:b/>
          <w:color w:val="000000"/>
          <w:sz w:val="32"/>
          <w:szCs w:val="32"/>
        </w:rPr>
      </w:pPr>
      <w:bookmarkStart w:id="42" w:name="_Toc15377217"/>
      <w:r>
        <w:rPr>
          <w:rFonts w:hint="eastAsia" w:ascii="楷体_GB2312" w:hAnsi="楷体_GB2312" w:eastAsia="楷体_GB2312" w:cs="楷体_GB2312"/>
          <w:b/>
          <w:color w:val="000000"/>
          <w:sz w:val="32"/>
          <w:szCs w:val="32"/>
        </w:rPr>
        <w:t>（二）“三公”经费财政拨款支出决算具体情况说明</w:t>
      </w:r>
      <w:bookmarkEnd w:id="42"/>
    </w:p>
    <w:p>
      <w:pPr>
        <w:pageBreakBefore w:val="0"/>
        <w:kinsoku/>
        <w:wordWrap/>
        <w:overflowPunct/>
        <w:topLinePunct w:val="0"/>
        <w:bidi w:val="0"/>
        <w:spacing w:line="52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w:t>
      </w:r>
      <w:r>
        <w:rPr>
          <w:rFonts w:ascii="仿宋" w:hAnsi="仿宋" w:eastAsia="仿宋"/>
          <w:color w:val="000000"/>
          <w:sz w:val="32"/>
          <w:szCs w:val="32"/>
        </w:rPr>
        <w:t>%</w:t>
      </w:r>
      <w:r>
        <w:rPr>
          <w:rFonts w:hint="eastAsia" w:ascii="仿宋" w:hAnsi="仿宋" w:eastAsia="仿宋"/>
          <w:color w:val="000000"/>
          <w:sz w:val="32"/>
          <w:szCs w:val="32"/>
        </w:rPr>
        <w:t>。具体情况如下：</w:t>
      </w:r>
    </w:p>
    <w:p>
      <w:pPr>
        <w:pageBreakBefore w:val="0"/>
        <w:kinsoku/>
        <w:wordWrap/>
        <w:overflowPunct/>
        <w:topLinePunct w:val="0"/>
        <w:bidi w:val="0"/>
        <w:spacing w:line="240" w:lineRule="auto"/>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294505" cy="3281680"/>
            <wp:effectExtent l="0" t="0" r="10795" b="1397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11"/>
                    <a:stretch>
                      <a:fillRect/>
                    </a:stretch>
                  </pic:blipFill>
                  <pic:spPr>
                    <a:xfrm>
                      <a:off x="0" y="0"/>
                      <a:ext cx="4294505" cy="3281680"/>
                    </a:xfrm>
                    <a:prstGeom prst="rect">
                      <a:avLst/>
                    </a:prstGeom>
                  </pic:spPr>
                </pic:pic>
              </a:graphicData>
            </a:graphic>
          </wp:inline>
        </w:drawing>
      </w:r>
    </w:p>
    <w:p>
      <w:pPr>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（图8：“三公”经费财政拨款支出结构）（饼状图）</w:t>
      </w:r>
    </w:p>
    <w:p>
      <w:pPr>
        <w:pageBreakBefore w:val="0"/>
        <w:kinsoku/>
        <w:wordWrap/>
        <w:overflowPunct/>
        <w:topLinePunct w:val="0"/>
        <w:bidi w:val="0"/>
        <w:spacing w:line="52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w:t>
      </w:r>
      <w:r>
        <w:rPr>
          <w:rStyle w:val="12"/>
          <w:rFonts w:hint="eastAsia" w:ascii="仿宋" w:hAnsi="仿宋" w:eastAsia="仿宋"/>
          <w:b w:val="0"/>
          <w:bCs/>
          <w:color w:val="000000"/>
          <w:sz w:val="32"/>
          <w:szCs w:val="32"/>
          <w:lang w:val="en-US" w:eastAsia="zh-CN"/>
        </w:rPr>
        <w:t>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人。主要原因是</w:t>
      </w:r>
      <w:r>
        <w:rPr>
          <w:rFonts w:hint="eastAsia" w:ascii="仿宋" w:hAnsi="仿宋" w:eastAsia="仿宋"/>
          <w:color w:val="000000"/>
          <w:sz w:val="32"/>
          <w:szCs w:val="32"/>
        </w:rPr>
        <w:t>无因公出国（境）</w:t>
      </w:r>
      <w:r>
        <w:rPr>
          <w:rFonts w:hint="eastAsia" w:ascii="仿宋" w:hAnsi="仿宋" w:eastAsia="仿宋"/>
          <w:color w:val="000000"/>
          <w:sz w:val="32"/>
          <w:szCs w:val="32"/>
          <w:lang w:eastAsia="zh-CN"/>
        </w:rPr>
        <w:t>人员</w:t>
      </w:r>
      <w:r>
        <w:rPr>
          <w:rFonts w:hint="eastAsia" w:ascii="仿宋_GB2312" w:eastAsia="仿宋_GB2312"/>
          <w:color w:val="000000"/>
          <w:sz w:val="32"/>
          <w:szCs w:val="32"/>
        </w:rPr>
        <w:t>。</w:t>
      </w:r>
    </w:p>
    <w:p>
      <w:pPr>
        <w:pageBreakBefore w:val="0"/>
        <w:kinsoku/>
        <w:wordWrap/>
        <w:overflowPunct/>
        <w:topLinePunct w:val="0"/>
        <w:bidi w:val="0"/>
        <w:spacing w:line="52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w:t>
      </w:r>
      <w:r>
        <w:rPr>
          <w:rStyle w:val="12"/>
          <w:rFonts w:hint="eastAsia" w:ascii="仿宋" w:hAnsi="仿宋" w:eastAsia="仿宋"/>
          <w:b w:val="0"/>
          <w:bCs/>
          <w:color w:val="000000"/>
          <w:sz w:val="32"/>
          <w:szCs w:val="32"/>
          <w:lang w:val="en-US" w:eastAsia="zh-CN"/>
        </w:rPr>
        <w:t>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无公务用车</w:t>
      </w:r>
      <w:r>
        <w:rPr>
          <w:rFonts w:hint="eastAsia" w:ascii="仿宋_GB2312" w:eastAsia="仿宋_GB2312"/>
          <w:color w:val="000000"/>
          <w:sz w:val="32"/>
          <w:szCs w:val="32"/>
        </w:rPr>
        <w:t>。</w:t>
      </w:r>
    </w:p>
    <w:p>
      <w:pPr>
        <w:pageBreakBefore w:val="0"/>
        <w:kinsoku/>
        <w:wordWrap/>
        <w:overflowPunct/>
        <w:topLinePunct w:val="0"/>
        <w:bidi w:val="0"/>
        <w:spacing w:line="52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pageBreakBefore w:val="0"/>
        <w:kinsoku/>
        <w:wordWrap/>
        <w:overflowPunct/>
        <w:topLinePunct w:val="0"/>
        <w:bidi w:val="0"/>
        <w:spacing w:line="52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w:t>
      </w:r>
      <w:r>
        <w:rPr>
          <w:rFonts w:hint="eastAsia" w:ascii="仿宋" w:hAnsi="仿宋" w:eastAsia="仿宋"/>
          <w:color w:val="000000"/>
          <w:sz w:val="32"/>
          <w:szCs w:val="32"/>
        </w:rPr>
        <w:t>无公务用车</w:t>
      </w:r>
      <w:r>
        <w:rPr>
          <w:rFonts w:hint="eastAsia" w:ascii="仿宋" w:hAnsi="仿宋" w:eastAsia="仿宋"/>
          <w:color w:val="000000"/>
          <w:sz w:val="32"/>
          <w:szCs w:val="32"/>
          <w:lang w:eastAsia="zh-CN"/>
        </w:rPr>
        <w:t>。</w:t>
      </w:r>
      <w:r>
        <w:rPr>
          <w:rFonts w:hint="eastAsia" w:ascii="仿宋_GB2312" w:eastAsia="仿宋_GB2312"/>
          <w:color w:val="000000"/>
          <w:sz w:val="32"/>
          <w:szCs w:val="32"/>
        </w:rPr>
        <w:t>（具体工作）等所需的公务用车燃料费、维修费、过路过桥费、保险费等支出。</w:t>
      </w:r>
    </w:p>
    <w:p>
      <w:pPr>
        <w:pageBreakBefore w:val="0"/>
        <w:kinsoku/>
        <w:wordWrap/>
        <w:overflowPunct/>
        <w:topLinePunct w:val="0"/>
        <w:bidi w:val="0"/>
        <w:spacing w:line="52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1.98</w:t>
      </w:r>
      <w:r>
        <w:rPr>
          <w:rFonts w:hint="eastAsia" w:ascii="仿宋_GB2312" w:eastAsia="仿宋_GB2312"/>
          <w:color w:val="000000"/>
          <w:sz w:val="32"/>
          <w:szCs w:val="32"/>
        </w:rPr>
        <w:t>万元，</w:t>
      </w:r>
      <w:r>
        <w:rPr>
          <w:rFonts w:hint="eastAsia" w:ascii="仿宋" w:hAnsi="仿宋" w:eastAsia="仿宋"/>
          <w:color w:val="000000"/>
          <w:sz w:val="32"/>
          <w:szCs w:val="32"/>
        </w:rPr>
        <w:t>完成预算</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0.54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rPr>
        <w:t>接待执行公务、开展业务活动人数减少</w:t>
      </w:r>
      <w:r>
        <w:rPr>
          <w:rFonts w:hint="eastAsia" w:ascii="仿宋_GB2312" w:eastAsia="仿宋_GB2312"/>
          <w:color w:val="000000"/>
          <w:sz w:val="32"/>
          <w:szCs w:val="32"/>
        </w:rPr>
        <w:t>。</w:t>
      </w:r>
    </w:p>
    <w:p>
      <w:pPr>
        <w:pageBreakBefore w:val="0"/>
        <w:kinsoku/>
        <w:wordWrap/>
        <w:overflowPunct/>
        <w:topLinePunct w:val="0"/>
        <w:bidi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1.98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上级主管部门指导、督查扫黑除恶工作及综治、维稳、防邪等公务活动支出</w:t>
      </w:r>
      <w:r>
        <w:rPr>
          <w:rFonts w:hint="eastAsia" w:ascii="仿宋_GB2312" w:eastAsia="仿宋_GB2312"/>
          <w:color w:val="000000"/>
          <w:sz w:val="32"/>
          <w:szCs w:val="32"/>
        </w:rPr>
        <w:t>。其中：</w:t>
      </w:r>
    </w:p>
    <w:p>
      <w:pPr>
        <w:pageBreakBefore w:val="0"/>
        <w:kinsoku/>
        <w:wordWrap/>
        <w:overflowPunct/>
        <w:topLinePunct w:val="0"/>
        <w:bidi w:val="0"/>
        <w:spacing w:line="52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52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1.98</w:t>
      </w:r>
      <w:r>
        <w:rPr>
          <w:rFonts w:hint="eastAsia" w:ascii="仿宋_GB2312" w:eastAsia="仿宋_GB2312"/>
          <w:color w:val="000000"/>
          <w:sz w:val="32"/>
          <w:szCs w:val="32"/>
        </w:rPr>
        <w:t>万元，主要用于</w:t>
      </w:r>
      <w:r>
        <w:rPr>
          <w:rFonts w:hint="eastAsia" w:ascii="仿宋" w:hAnsi="仿宋" w:eastAsia="仿宋"/>
          <w:color w:val="000000"/>
          <w:sz w:val="32"/>
          <w:szCs w:val="32"/>
        </w:rPr>
        <w:t>上级主管部门指导、督查、检查等公务业务接待</w:t>
      </w:r>
      <w:r>
        <w:rPr>
          <w:rFonts w:hint="eastAsia" w:ascii="仿宋" w:hAnsi="仿宋" w:eastAsia="仿宋"/>
          <w:color w:val="000000"/>
          <w:sz w:val="32"/>
          <w:szCs w:val="32"/>
          <w:lang w:eastAsia="zh-CN"/>
        </w:rPr>
        <w:t>。</w:t>
      </w:r>
      <w:bookmarkStart w:id="43" w:name="_Toc15396610"/>
      <w:bookmarkStart w:id="44" w:name="_Toc15377218"/>
    </w:p>
    <w:p>
      <w:pPr>
        <w:pageBreakBefore w:val="0"/>
        <w:kinsoku/>
        <w:wordWrap/>
        <w:overflowPunct/>
        <w:topLinePunct w:val="0"/>
        <w:bidi w:val="0"/>
        <w:spacing w:line="520" w:lineRule="exact"/>
        <w:ind w:firstLine="640"/>
        <w:outlineLvl w:val="1"/>
        <w:rPr>
          <w:rStyle w:val="15"/>
          <w:rFonts w:ascii="黑体" w:hAnsi="黑体" w:eastAsia="黑体"/>
        </w:rPr>
      </w:pPr>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43"/>
      <w:bookmarkEnd w:id="44"/>
    </w:p>
    <w:p>
      <w:pPr>
        <w:pageBreakBefore w:val="0"/>
        <w:kinsoku/>
        <w:wordWrap/>
        <w:overflowPunct/>
        <w:topLinePunct w:val="0"/>
        <w:bidi w:val="0"/>
        <w:spacing w:line="52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numPr>
          <w:ilvl w:val="0"/>
          <w:numId w:val="2"/>
        </w:numPr>
        <w:kinsoku/>
        <w:wordWrap/>
        <w:overflowPunct/>
        <w:topLinePunct w:val="0"/>
        <w:bidi w:val="0"/>
        <w:spacing w:line="520" w:lineRule="exact"/>
        <w:ind w:firstLine="640"/>
        <w:outlineLvl w:val="1"/>
        <w:rPr>
          <w:rStyle w:val="15"/>
          <w:rFonts w:ascii="黑体" w:hAnsi="黑体" w:eastAsia="黑体"/>
          <w:b w:val="0"/>
        </w:rPr>
      </w:pPr>
      <w:bookmarkStart w:id="45" w:name="_Toc15396611"/>
      <w:bookmarkStart w:id="46" w:name="_Toc15377219"/>
      <w:r>
        <w:rPr>
          <w:rStyle w:val="15"/>
          <w:rFonts w:hint="eastAsia" w:ascii="黑体" w:hAnsi="黑体" w:eastAsia="黑体"/>
          <w:b w:val="0"/>
        </w:rPr>
        <w:t>国有资本经营预算支出决算情况说明</w:t>
      </w:r>
      <w:bookmarkEnd w:id="45"/>
      <w:bookmarkEnd w:id="46"/>
    </w:p>
    <w:p>
      <w:pPr>
        <w:pageBreakBefore w:val="0"/>
        <w:kinsoku/>
        <w:wordWrap/>
        <w:overflowPunct/>
        <w:topLinePunct w:val="0"/>
        <w:bidi w:val="0"/>
        <w:spacing w:line="52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6"/>
        <w:pageBreakBefore w:val="0"/>
        <w:numPr>
          <w:ilvl w:val="0"/>
          <w:numId w:val="3"/>
        </w:numPr>
        <w:kinsoku/>
        <w:wordWrap/>
        <w:overflowPunct/>
        <w:topLinePunct w:val="0"/>
        <w:bidi w:val="0"/>
        <w:spacing w:line="520" w:lineRule="exact"/>
        <w:ind w:firstLineChars="0"/>
        <w:rPr>
          <w:rStyle w:val="15"/>
          <w:rFonts w:ascii="黑体" w:hAnsi="黑体" w:eastAsia="黑体"/>
          <w:b w:val="0"/>
        </w:rPr>
      </w:pPr>
      <w:r>
        <w:rPr>
          <w:rStyle w:val="15"/>
          <w:rFonts w:hint="eastAsia" w:ascii="黑体" w:hAnsi="黑体" w:eastAsia="黑体"/>
          <w:b w:val="0"/>
        </w:rPr>
        <w:t>预算绩效情况说明</w:t>
      </w:r>
    </w:p>
    <w:p>
      <w:pPr>
        <w:numPr>
          <w:ilvl w:val="0"/>
          <w:numId w:val="4"/>
        </w:num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17个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pStyle w:val="9"/>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：一是我单位</w:t>
      </w:r>
      <w:r>
        <w:rPr>
          <w:rFonts w:ascii="仿宋_GB2312" w:hAnsi="仿宋" w:eastAsia="仿宋_GB2312" w:cs="仿宋_GB2312"/>
          <w:sz w:val="32"/>
          <w:szCs w:val="32"/>
        </w:rPr>
        <w:t>的整体评价效果相对以前年度有所提高，特别是开展绩效评价以来，建立健全了本单位的内部控制制度</w:t>
      </w:r>
      <w:r>
        <w:rPr>
          <w:rFonts w:hint="eastAsia" w:ascii="仿宋_GB2312" w:hAnsi="仿宋" w:eastAsia="仿宋_GB2312" w:cs="仿宋_GB2312"/>
          <w:sz w:val="32"/>
          <w:szCs w:val="32"/>
          <w:lang w:eastAsia="zh-CN"/>
        </w:rPr>
        <w:t>及</w:t>
      </w:r>
      <w:r>
        <w:rPr>
          <w:rFonts w:ascii="仿宋_GB2312" w:hAnsi="仿宋" w:eastAsia="仿宋_GB2312" w:cs="仿宋_GB2312"/>
          <w:sz w:val="32"/>
          <w:szCs w:val="32"/>
        </w:rPr>
        <w:t>固定资产使用管理等制度。</w:t>
      </w:r>
      <w:r>
        <w:rPr>
          <w:rFonts w:hint="eastAsia" w:ascii="仿宋_GB2312" w:hAnsi="仿宋" w:eastAsia="仿宋_GB2312" w:cs="仿宋_GB2312"/>
          <w:sz w:val="32"/>
          <w:szCs w:val="32"/>
          <w:lang w:eastAsia="zh-CN"/>
        </w:rPr>
        <w:t>二是基本</w:t>
      </w:r>
      <w:r>
        <w:rPr>
          <w:rFonts w:hint="eastAsia" w:ascii="仿宋" w:hAnsi="仿宋" w:eastAsia="仿宋" w:cs="仿宋"/>
          <w:sz w:val="32"/>
          <w:szCs w:val="32"/>
        </w:rPr>
        <w:t>支出严格按照年初预算执行，无预算不予以列支及报销，报销按照严格的审核流程，从审签到报销实行多环节把控，从源头控制。</w:t>
      </w:r>
      <w:r>
        <w:rPr>
          <w:rFonts w:hint="eastAsia" w:ascii="仿宋" w:hAnsi="仿宋" w:eastAsia="仿宋" w:cs="仿宋"/>
          <w:sz w:val="32"/>
          <w:szCs w:val="32"/>
          <w:lang w:eastAsia="zh-CN"/>
        </w:rPr>
        <w:t>三是</w:t>
      </w:r>
      <w:r>
        <w:rPr>
          <w:rFonts w:hint="eastAsia" w:ascii="仿宋" w:hAnsi="仿宋" w:eastAsia="仿宋" w:cs="仿宋"/>
          <w:sz w:val="32"/>
          <w:szCs w:val="32"/>
        </w:rPr>
        <w:t>项目支出主要是满足本单位相关业务工作的需求</w:t>
      </w:r>
      <w:r>
        <w:rPr>
          <w:rFonts w:hint="eastAsia" w:ascii="仿宋" w:hAnsi="仿宋" w:eastAsia="仿宋" w:cs="仿宋"/>
          <w:sz w:val="32"/>
          <w:szCs w:val="32"/>
          <w:lang w:eastAsia="zh-CN"/>
        </w:rPr>
        <w:t>，</w:t>
      </w:r>
      <w:r>
        <w:rPr>
          <w:rFonts w:hint="eastAsia" w:ascii="仿宋" w:hAnsi="仿宋" w:eastAsia="仿宋" w:cs="仿宋"/>
          <w:sz w:val="32"/>
          <w:szCs w:val="32"/>
        </w:rPr>
        <w:t>注重对项目的使用投入和后期效果。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年度部门决算中反映“平安创建、综治、维稳、防邪及国安工作经费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长安网基础和升级服务费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网格化服务管理</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平安创建、综治、维稳、防邪及国安工作经费项目绩效目标完成情况综述。项目全年预算数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全县社会稳定形势，化解社会矛盾和风险，协调应对和处置重大突发事件，维护社会和谐稳定。</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长安网基础和升级服务费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%。通过项目实施，长安网是四川政法</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的门户网站，体现出清新自然、重点突出、服务性强等特点，既紧密结合省委政法委中心工作，又与新媒体时代网站风格保持一致，四川长安网最根本的功能是宣传党和政府的方针政策，尤其是政法系统的各项工作、政策，让读者学法，了解大政方针。</w:t>
      </w:r>
    </w:p>
    <w:p>
      <w:pPr>
        <w:tabs>
          <w:tab w:val="left" w:pos="312"/>
        </w:tabs>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3.网格化服务管理</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66.6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66.6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%。通过项目实施，为共同推进平安四川与和谐社会建设，建立网格化管理信息系统及应用系统，通过电子政务外网接入该系统进行数据传输，系统承建方保证平台内容及信息安全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项目实施，网格服务队员通过短信平台、群众来访及组团服务人员定期上门调查收集等渠道，收集群众的各方面的反映和要求后，进入系统受理，对于受理的各类事件，首先由各网格、社区、乡镇(街道)、县区、市各级相关单位和人员处理。对每件事件的受理、处理、办结及反馈评价等情况能在平台上全面反映，并可按事件类型、责任人、办理时间等要素进行分类查询，各级领导根据授权，可以通过平台了解办理进度、进行督办。通过项目实施，</w:t>
      </w:r>
      <w:r>
        <w:rPr>
          <w:rFonts w:hint="eastAsia" w:ascii="仿宋_GB2312" w:hAnsi="仿宋_GB2312" w:eastAsia="仿宋_GB2312" w:cs="仿宋_GB2312"/>
          <w:sz w:val="32"/>
          <w:szCs w:val="32"/>
          <w:lang w:eastAsia="zh-CN"/>
        </w:rPr>
        <w:t>对网格人员分配账号，对网格人员手机的数据传输进入系统受理，对于受理的各类事件，首先由各网格、社区、乡镇(街道)、县区、市各级相关单位和人员处理。对每件事件的受理、处理、办结及反馈评价等情况能在平台上全面反映，并可按事件类型、责任人、办理时间等要素进行分类查询，各级领导根据授权，可以通过平台了解办理进度、进行督办。</w:t>
      </w: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21</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8"/>
                <w:szCs w:val="28"/>
              </w:rPr>
            </w:pPr>
            <w:r>
              <w:rPr>
                <w:rFonts w:hint="eastAsia" w:ascii="仿宋_GB2312" w:hAnsi="仿宋_GB2312" w:eastAsia="仿宋_GB2312" w:cs="仿宋_GB2312"/>
                <w:sz w:val="28"/>
                <w:szCs w:val="28"/>
              </w:rPr>
              <w:t>平安创建、综治、维稳、防邪及国安工作经费项目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中共南江县委政法委员会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0"/>
              </w:numPr>
              <w:spacing w:line="5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保障</w:t>
            </w:r>
            <w:r>
              <w:rPr>
                <w:rFonts w:hint="eastAsia" w:asciiTheme="majorEastAsia" w:hAnsiTheme="majorEastAsia" w:eastAsiaTheme="majorEastAsia" w:cstheme="majorEastAsia"/>
                <w:sz w:val="28"/>
                <w:szCs w:val="28"/>
                <w:lang w:eastAsia="zh-CN"/>
              </w:rPr>
              <w:t>全县社会稳定形势，化解社会矛盾和风险，协调应对和处置重大突发事件，维护社会和谐稳定。</w:t>
            </w:r>
          </w:p>
          <w:p>
            <w:pPr>
              <w:widowControl/>
              <w:jc w:val="center"/>
              <w:textAlignment w:val="center"/>
              <w:rPr>
                <w:rFonts w:ascii="宋体" w:hAnsi="宋体" w:cs="宋体"/>
                <w:color w:val="000000"/>
                <w:sz w:val="28"/>
                <w:szCs w:val="28"/>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0"/>
              </w:numPr>
              <w:spacing w:line="5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保障</w:t>
            </w:r>
            <w:r>
              <w:rPr>
                <w:rFonts w:hint="eastAsia" w:asciiTheme="minorEastAsia" w:hAnsiTheme="minorEastAsia" w:eastAsiaTheme="minorEastAsia" w:cstheme="minorEastAsia"/>
                <w:sz w:val="28"/>
                <w:szCs w:val="28"/>
                <w:lang w:eastAsia="zh-CN"/>
              </w:rPr>
              <w:t>全县社会稳定形势，化解社会矛盾和风险，协调应对和处置重大突发事件，维护社会和谐稳定。</w:t>
            </w:r>
          </w:p>
          <w:p>
            <w:pPr>
              <w:widowControl/>
              <w:jc w:val="center"/>
              <w:textAlignment w:val="center"/>
              <w:rPr>
                <w:rFonts w:ascii="宋体" w:hAnsi="宋体" w:cs="宋体"/>
                <w:color w:val="000000"/>
                <w:sz w:val="28"/>
                <w:szCs w:val="28"/>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全面完成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szCs w:val="24"/>
              </w:rPr>
              <w:t>在规定时效内完成费用的报销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矛盾纠纷及社会稳定风险降低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提高全县人民满意度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bl>
    <w:p>
      <w:pPr>
        <w:rPr>
          <w:rFonts w:hint="eastAsia" w:ascii="仿宋" w:hAnsi="仿宋" w:eastAsia="仿宋" w:cs="仿宋"/>
          <w:sz w:val="28"/>
          <w:szCs w:val="28"/>
        </w:rPr>
      </w:pP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293"/>
        <w:gridCol w:w="1074"/>
        <w:gridCol w:w="1025"/>
        <w:gridCol w:w="2407"/>
        <w:gridCol w:w="2379"/>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16"/>
              <w:widowControl/>
              <w:ind w:left="4173" w:leftChars="1310" w:hanging="1422" w:hangingChars="395"/>
              <w:textAlignment w:val="center"/>
              <w:rPr>
                <w:rFonts w:hint="eastAsia" w:ascii="仿宋" w:hAnsi="仿宋" w:eastAsia="仿宋" w:cs="仿宋"/>
                <w:color w:val="000000"/>
                <w:sz w:val="28"/>
                <w:szCs w:val="28"/>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rPr>
              <w:br w:type="textWrapping"/>
            </w:r>
            <w:r>
              <w:rPr>
                <w:rFonts w:hint="eastAsia" w:ascii="仿宋" w:hAnsi="仿宋" w:eastAsia="仿宋" w:cs="仿宋"/>
                <w:color w:val="000000"/>
                <w:kern w:val="0"/>
                <w:sz w:val="28"/>
                <w:szCs w:val="28"/>
              </w:rPr>
              <w:t>(20</w:t>
            </w:r>
            <w:r>
              <w:rPr>
                <w:rFonts w:hint="eastAsia" w:ascii="仿宋" w:hAnsi="仿宋" w:eastAsia="仿宋" w:cs="仿宋"/>
                <w:color w:val="000000"/>
                <w:kern w:val="0"/>
                <w:sz w:val="28"/>
                <w:szCs w:val="28"/>
                <w:lang w:val="en-US" w:eastAsia="zh-CN"/>
              </w:rPr>
              <w:t>21</w:t>
            </w:r>
            <w:r>
              <w:rPr>
                <w:rFonts w:hint="eastAsia" w:ascii="仿宋" w:hAnsi="仿宋" w:eastAsia="仿宋" w:cs="仿宋"/>
                <w:color w:val="000000"/>
                <w:kern w:val="0"/>
                <w:sz w:val="28"/>
                <w:szCs w:val="28"/>
              </w:rPr>
              <w:t>年度)</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sz w:val="28"/>
                <w:szCs w:val="28"/>
                <w:lang w:eastAsia="zh-CN"/>
              </w:rPr>
              <w:t>长安网基础和升级服务费</w:t>
            </w:r>
            <w:r>
              <w:rPr>
                <w:rFonts w:hint="eastAsia" w:ascii="仿宋" w:hAnsi="仿宋" w:eastAsia="仿宋" w:cs="仿宋"/>
                <w:sz w:val="28"/>
                <w:szCs w:val="28"/>
              </w:rPr>
              <w:t>项目</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中共南江县委政法委员会</w:t>
            </w:r>
          </w:p>
        </w:tc>
      </w:tr>
      <w:tr>
        <w:tblPrEx>
          <w:tblCellMar>
            <w:top w:w="0" w:type="dxa"/>
            <w:left w:w="0" w:type="dxa"/>
            <w:bottom w:w="0" w:type="dxa"/>
            <w:right w:w="0" w:type="dxa"/>
          </w:tblCellMar>
        </w:tblPrEx>
        <w:trPr>
          <w:trHeight w:val="276"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预算执行情况(万元)</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预算数:</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p>
        </w:tc>
      </w:tr>
      <w:tr>
        <w:tblPrEx>
          <w:tblCellMar>
            <w:top w:w="0" w:type="dxa"/>
            <w:left w:w="0" w:type="dxa"/>
            <w:bottom w:w="0" w:type="dxa"/>
            <w:right w:w="0" w:type="dxa"/>
          </w:tblCellMar>
        </w:tblPrEx>
        <w:trPr>
          <w:trHeight w:val="276"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color w:val="000000"/>
                <w:sz w:val="28"/>
                <w:szCs w:val="28"/>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其中-财政拨款:</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1511"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color w:val="000000"/>
                <w:sz w:val="28"/>
                <w:szCs w:val="28"/>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其</w:t>
            </w:r>
            <w:r>
              <w:rPr>
                <w:rFonts w:hint="eastAsia" w:ascii="仿宋" w:hAnsi="仿宋" w:eastAsia="仿宋" w:cs="仿宋"/>
                <w:color w:val="000000"/>
                <w:kern w:val="0"/>
                <w:sz w:val="28"/>
                <w:szCs w:val="28"/>
                <w:lang w:eastAsia="zh-CN"/>
              </w:rPr>
              <w:t>他</w:t>
            </w:r>
            <w:r>
              <w:rPr>
                <w:rFonts w:hint="eastAsia" w:ascii="仿宋" w:hAnsi="仿宋" w:eastAsia="仿宋" w:cs="仿宋"/>
                <w:color w:val="000000"/>
                <w:kern w:val="0"/>
                <w:sz w:val="28"/>
                <w:szCs w:val="28"/>
              </w:rPr>
              <w:t>资金:</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0</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其</w:t>
            </w:r>
            <w:r>
              <w:rPr>
                <w:rFonts w:hint="eastAsia" w:ascii="仿宋" w:hAnsi="仿宋" w:eastAsia="仿宋" w:cs="仿宋"/>
                <w:color w:val="000000"/>
                <w:kern w:val="0"/>
                <w:sz w:val="28"/>
                <w:szCs w:val="28"/>
                <w:lang w:eastAsia="zh-CN"/>
              </w:rPr>
              <w:t>他</w:t>
            </w:r>
            <w:r>
              <w:rPr>
                <w:rFonts w:hint="eastAsia" w:ascii="仿宋" w:hAnsi="仿宋" w:eastAsia="仿宋" w:cs="仿宋"/>
                <w:color w:val="000000"/>
                <w:kern w:val="0"/>
                <w:sz w:val="28"/>
                <w:szCs w:val="28"/>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276" w:hRule="atLeast"/>
        </w:trPr>
        <w:tc>
          <w:tcPr>
            <w:tcW w:w="6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年度目标完成情况</w:t>
            </w:r>
          </w:p>
        </w:tc>
        <w:tc>
          <w:tcPr>
            <w:tcW w:w="45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预期目标</w:t>
            </w:r>
          </w:p>
        </w:tc>
        <w:tc>
          <w:tcPr>
            <w:tcW w:w="47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实际完成目标</w:t>
            </w:r>
          </w:p>
        </w:tc>
      </w:tr>
      <w:tr>
        <w:tblPrEx>
          <w:tblCellMar>
            <w:top w:w="0" w:type="dxa"/>
            <w:left w:w="0" w:type="dxa"/>
            <w:bottom w:w="0" w:type="dxa"/>
            <w:right w:w="0" w:type="dxa"/>
          </w:tblCellMar>
        </w:tblPrEx>
        <w:trPr>
          <w:trHeight w:val="1159" w:hRule="atLeast"/>
        </w:trPr>
        <w:tc>
          <w:tcPr>
            <w:tcW w:w="390" w:type="dxa"/>
            <w:tcBorders>
              <w:top w:val="single" w:color="000000" w:sz="4" w:space="0"/>
              <w:left w:val="single" w:color="000000" w:sz="4" w:space="0"/>
              <w:right w:val="single" w:color="000000" w:sz="4" w:space="0"/>
            </w:tcBorders>
            <w:vAlign w:val="center"/>
          </w:tcPr>
          <w:p>
            <w:pPr>
              <w:widowControl/>
              <w:jc w:val="left"/>
              <w:rPr>
                <w:rFonts w:hint="eastAsia" w:ascii="仿宋" w:hAnsi="仿宋" w:eastAsia="仿宋" w:cs="仿宋"/>
                <w:color w:val="000000"/>
                <w:sz w:val="28"/>
                <w:szCs w:val="28"/>
              </w:rPr>
            </w:pPr>
          </w:p>
        </w:tc>
        <w:tc>
          <w:tcPr>
            <w:tcW w:w="479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宣传党和政府的方针政策，尤其是政法系统的各项工作、政策，让读者学法，了解大政方针</w:t>
            </w:r>
          </w:p>
        </w:tc>
        <w:tc>
          <w:tcPr>
            <w:tcW w:w="47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宣传党和政府的方针政策，尤其是政法系统的各项工作、政策，让读者学法，了解大政方针</w:t>
            </w:r>
          </w:p>
        </w:tc>
      </w:tr>
      <w:tr>
        <w:tblPrEx>
          <w:tblCellMar>
            <w:top w:w="0" w:type="dxa"/>
            <w:left w:w="0" w:type="dxa"/>
            <w:bottom w:w="0" w:type="dxa"/>
            <w:right w:w="0" w:type="dxa"/>
          </w:tblCellMar>
        </w:tblPrEx>
        <w:trPr>
          <w:trHeight w:val="1042"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 xml:space="preserve"> 系统数据准确率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系统数据及时更新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297"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szCs w:val="24"/>
              </w:rPr>
              <w:t>社会公众</w:t>
            </w:r>
            <w:r>
              <w:rPr>
                <w:rFonts w:hint="eastAsia" w:ascii="宋体" w:hAnsi="宋体" w:cs="宋体"/>
                <w:color w:val="000000"/>
                <w:sz w:val="24"/>
                <w:szCs w:val="24"/>
                <w:lang w:eastAsia="zh-CN"/>
              </w:rPr>
              <w:t>知晓率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szCs w:val="24"/>
              </w:rPr>
              <w:t>社会公众</w:t>
            </w:r>
            <w:r>
              <w:rPr>
                <w:rFonts w:hint="eastAsia" w:ascii="宋体" w:hAnsi="宋体" w:cs="宋体"/>
                <w:color w:val="000000"/>
                <w:sz w:val="24"/>
                <w:szCs w:val="24"/>
                <w:lang w:eastAsia="zh-CN"/>
              </w:rPr>
              <w:t>知晓率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社会公众知晓率高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50"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对当地居民法制观念的改善提高程度（%）</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3" w:lineRule="atLeast"/>
              <w:ind w:left="0" w:right="0" w:firstLine="420" w:firstLineChars="200"/>
              <w:jc w:val="left"/>
              <w:textAlignment w:val="center"/>
              <w:rPr>
                <w:rFonts w:hint="eastAsia" w:eastAsia="宋体"/>
                <w:lang w:eastAsia="zh-CN"/>
              </w:rPr>
            </w:pPr>
            <w:r>
              <w:rPr>
                <w:rFonts w:hint="eastAsia"/>
                <w:lang w:eastAsia="zh-CN"/>
              </w:rPr>
              <w:t>提高群众满意度</w:t>
            </w:r>
          </w:p>
          <w:p>
            <w:pPr>
              <w:widowControl/>
              <w:jc w:val="center"/>
              <w:textAlignment w:val="center"/>
              <w:rPr>
                <w:rFonts w:hint="eastAsia" w:ascii="宋体" w:hAnsi="宋体" w:eastAsia="宋体" w:cs="宋体"/>
                <w:color w:val="000000"/>
                <w:sz w:val="24"/>
                <w:lang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1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21</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val="en-US" w:eastAsia="zh-CN"/>
              </w:rPr>
              <w:t>网格化服务管理</w:t>
            </w:r>
            <w:r>
              <w:rPr>
                <w:rFonts w:hint="eastAsia" w:ascii="仿宋_GB2312" w:hAnsi="仿宋_GB2312" w:eastAsia="仿宋_GB2312" w:cs="仿宋_GB2312"/>
                <w:sz w:val="32"/>
                <w:szCs w:val="32"/>
                <w:lang w:eastAsia="zh-CN"/>
              </w:rPr>
              <w:t>租赁费</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中共南江县委政法委员会</w:t>
            </w:r>
          </w:p>
        </w:tc>
      </w:tr>
      <w:tr>
        <w:tblPrEx>
          <w:tblCellMar>
            <w:top w:w="0" w:type="dxa"/>
            <w:left w:w="0" w:type="dxa"/>
            <w:bottom w:w="0" w:type="dxa"/>
            <w:right w:w="0" w:type="dxa"/>
          </w:tblCellMar>
        </w:tblPrEx>
        <w:trPr>
          <w:trHeight w:val="276"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66.6</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66.6</w:t>
            </w:r>
          </w:p>
        </w:tc>
      </w:tr>
      <w:tr>
        <w:tblPrEx>
          <w:tblCellMar>
            <w:top w:w="0" w:type="dxa"/>
            <w:left w:w="0" w:type="dxa"/>
            <w:bottom w:w="0" w:type="dxa"/>
            <w:right w:w="0" w:type="dxa"/>
          </w:tblCellMar>
        </w:tblPrEx>
        <w:trPr>
          <w:trHeight w:val="276"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p>
        </w:tc>
      </w:tr>
      <w:tr>
        <w:tblPrEx>
          <w:tblCellMar>
            <w:top w:w="0" w:type="dxa"/>
            <w:left w:w="0" w:type="dxa"/>
            <w:bottom w:w="0" w:type="dxa"/>
            <w:right w:w="0" w:type="dxa"/>
          </w:tblCellMar>
        </w:tblPrEx>
        <w:trPr>
          <w:trHeight w:val="1511"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0"/>
              </w:numPr>
              <w:spacing w:line="5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为共同推进平安四川与和谐社会建设，建立网格化管理信息系统及应用系统，通过电子政务外网接入该系统进行数据传输，系统承建方保证平台内容及信息安全</w:t>
            </w:r>
          </w:p>
          <w:p>
            <w:pPr>
              <w:widowControl/>
              <w:jc w:val="center"/>
              <w:textAlignment w:val="center"/>
              <w:rPr>
                <w:rFonts w:ascii="宋体" w:hAnsi="宋体" w:cs="宋体"/>
                <w:color w:val="000000"/>
                <w:sz w:val="24"/>
              </w:rPr>
            </w:pPr>
          </w:p>
        </w:tc>
        <w:tc>
          <w:tcPr>
            <w:tcW w:w="47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0"/>
              </w:num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为共同推进平安四川与和谐社会建设，建立网格化管理信息系统及应用系统，通过电子政务外网接入该系统进行数据传输，系统承建方保证平台内容及信息安全</w:t>
            </w:r>
          </w:p>
          <w:p>
            <w:pPr>
              <w:widowControl/>
              <w:jc w:val="both"/>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质量指标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系统</w:t>
            </w:r>
            <w:r>
              <w:rPr>
                <w:rFonts w:hint="eastAsia" w:ascii="宋体" w:hAnsi="宋体" w:cs="宋体"/>
                <w:color w:val="000000"/>
                <w:sz w:val="24"/>
                <w:lang w:val="en-US" w:eastAsia="zh-CN"/>
              </w:rPr>
              <w:t>正常运行保障率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保障平台正常运行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297"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数量指标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 xml:space="preserve">    系统数据准确率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2021年底完成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时效指标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全面完成</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2021年底完成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lang w:eastAsia="zh-CN"/>
              </w:rPr>
              <w:t>效益</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社会效益指标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系统服务器运行无故障率</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保障平台畅通，运行正常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效益</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可持续影响指标</w:t>
            </w:r>
            <w:r>
              <w:rPr>
                <w:rFonts w:hint="eastAsia" w:ascii="宋体" w:hAnsi="宋体" w:cs="宋体"/>
                <w:color w:val="000000"/>
                <w:sz w:val="24"/>
                <w:lang w:val="en-US" w:eastAsia="zh-CN"/>
              </w:rPr>
              <w:t xml:space="preserve"> </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系统长期运行</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长期使用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50"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满意度指标</w:t>
            </w:r>
          </w:p>
        </w:tc>
        <w:tc>
          <w:tcPr>
            <w:tcW w:w="24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群众满意度（</w:t>
            </w:r>
            <w:r>
              <w:rPr>
                <w:rFonts w:hint="eastAsia" w:ascii="宋体" w:hAnsi="宋体" w:cs="宋体"/>
                <w:color w:val="000000"/>
                <w:sz w:val="24"/>
                <w:lang w:val="en-US" w:eastAsia="zh-CN"/>
              </w:rPr>
              <w:t>%）</w:t>
            </w:r>
          </w:p>
        </w:tc>
        <w:tc>
          <w:tcPr>
            <w:tcW w:w="23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23" w:lineRule="atLeast"/>
              <w:ind w:left="0" w:right="0" w:firstLine="420" w:firstLineChars="200"/>
              <w:jc w:val="left"/>
              <w:textAlignment w:val="center"/>
              <w:rPr>
                <w:rFonts w:hint="eastAsia" w:eastAsia="宋体"/>
                <w:lang w:eastAsia="zh-CN"/>
              </w:rPr>
            </w:pPr>
            <w:r>
              <w:rPr>
                <w:rFonts w:hint="eastAsia"/>
                <w:lang w:eastAsia="zh-CN"/>
              </w:rPr>
              <w:t>提高群众满意度</w:t>
            </w:r>
          </w:p>
          <w:p>
            <w:pPr>
              <w:widowControl/>
              <w:jc w:val="left"/>
              <w:textAlignment w:val="center"/>
              <w:rPr>
                <w:rFonts w:hint="eastAsia"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color w:val="000000"/>
                <w:kern w:val="0"/>
                <w:sz w:val="24"/>
                <w:szCs w:val="24"/>
                <w:lang w:val="en-US" w:eastAsia="zh-CN" w:bidi="ar"/>
              </w:rPr>
            </w:pPr>
          </w:p>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100%</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政法委</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本部门自行组织对“平安创建、综治、维稳、防邪及国安工作经费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长安网基础和升级服务费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网格化服务管理</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rPr>
        <w:t>开展了绩效评价，《平安创建、综治、维稳、防邪及国安工作经费项目20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年绩效评价报告》见附件。</w:t>
      </w:r>
    </w:p>
    <w:p>
      <w:pPr>
        <w:pageBreakBefore w:val="0"/>
        <w:kinsoku/>
        <w:wordWrap/>
        <w:overflowPunct/>
        <w:topLinePunct w:val="0"/>
        <w:bidi w:val="0"/>
        <w:spacing w:line="520" w:lineRule="exact"/>
        <w:ind w:firstLine="800" w:firstLineChars="250"/>
        <w:outlineLvl w:val="1"/>
        <w:rPr>
          <w:rStyle w:val="15"/>
          <w:rFonts w:ascii="黑体" w:hAnsi="黑体" w:eastAsia="黑体"/>
        </w:rPr>
      </w:pPr>
      <w:bookmarkStart w:id="47" w:name="_Toc15377221"/>
      <w:bookmarkStart w:id="48" w:name="_Toc15396612"/>
      <w:r>
        <w:rPr>
          <w:rFonts w:hint="eastAsia" w:ascii="黑体" w:hAnsi="黑体" w:eastAsia="黑体"/>
          <w:color w:val="000000"/>
          <w:sz w:val="32"/>
          <w:szCs w:val="32"/>
        </w:rPr>
        <w:t>十</w:t>
      </w:r>
      <w:r>
        <w:rPr>
          <w:rStyle w:val="15"/>
          <w:rFonts w:hint="eastAsia" w:ascii="黑体" w:hAnsi="黑体" w:eastAsia="黑体"/>
        </w:rPr>
        <w:t>一、</w:t>
      </w:r>
      <w:r>
        <w:rPr>
          <w:rStyle w:val="15"/>
          <w:rFonts w:hint="eastAsia" w:ascii="黑体" w:hAnsi="黑体" w:eastAsia="黑体"/>
          <w:b w:val="0"/>
        </w:rPr>
        <w:t>其他重要事项的情况说明</w:t>
      </w:r>
      <w:bookmarkEnd w:id="47"/>
      <w:bookmarkEnd w:id="48"/>
    </w:p>
    <w:p>
      <w:pPr>
        <w:pageBreakBefore w:val="0"/>
        <w:kinsoku/>
        <w:wordWrap/>
        <w:overflowPunct/>
        <w:topLinePunct w:val="0"/>
        <w:bidi w:val="0"/>
        <w:spacing w:line="520" w:lineRule="exact"/>
        <w:ind w:firstLine="643" w:firstLineChars="200"/>
        <w:outlineLvl w:val="2"/>
        <w:rPr>
          <w:rFonts w:hint="eastAsia" w:ascii="楷体_GB2312" w:hAnsi="楷体_GB2312" w:eastAsia="楷体_GB2312" w:cs="楷体_GB2312"/>
          <w:color w:val="000000"/>
          <w:sz w:val="32"/>
          <w:szCs w:val="32"/>
        </w:rPr>
      </w:pPr>
      <w:bookmarkStart w:id="49" w:name="_Toc15377222"/>
      <w:r>
        <w:rPr>
          <w:rFonts w:hint="eastAsia" w:ascii="楷体_GB2312" w:hAnsi="楷体_GB2312" w:eastAsia="楷体_GB2312" w:cs="楷体_GB2312"/>
          <w:b/>
          <w:color w:val="000000"/>
          <w:sz w:val="32"/>
          <w:szCs w:val="32"/>
        </w:rPr>
        <w:t>（一）机关运行经费支出情况</w:t>
      </w:r>
      <w:bookmarkEnd w:id="49"/>
    </w:p>
    <w:p>
      <w:pPr>
        <w:pageBreakBefore w:val="0"/>
        <w:kinsoku/>
        <w:wordWrap/>
        <w:overflowPunct/>
        <w:topLinePunct w:val="0"/>
        <w:bidi w:val="0"/>
        <w:spacing w:line="52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政法委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58</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1.97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下降2%</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14:textFill>
            <w14:solidFill>
              <w14:schemeClr w14:val="tx1"/>
            </w14:solidFill>
          </w14:textFill>
        </w:rPr>
        <w:t>机关公用经费</w:t>
      </w:r>
      <w:r>
        <w:rPr>
          <w:rFonts w:hint="eastAsia" w:ascii="仿宋" w:hAnsi="仿宋" w:eastAsia="仿宋"/>
          <w:color w:val="000000" w:themeColor="text1"/>
          <w:sz w:val="32"/>
          <w:szCs w:val="32"/>
          <w:lang w:val="en-US" w:eastAsia="zh-CN"/>
          <w14:textFill>
            <w14:solidFill>
              <w14:schemeClr w14:val="tx1"/>
            </w14:solidFill>
          </w14:textFill>
        </w:rPr>
        <w:t>压缩</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520" w:lineRule="exact"/>
        <w:ind w:firstLine="643" w:firstLineChars="200"/>
        <w:outlineLvl w:val="2"/>
        <w:rPr>
          <w:rFonts w:hint="eastAsia" w:ascii="楷体_GB2312" w:hAnsi="楷体_GB2312" w:eastAsia="楷体_GB2312" w:cs="楷体_GB2312"/>
          <w:b/>
          <w:color w:val="000000"/>
          <w:sz w:val="32"/>
          <w:szCs w:val="32"/>
        </w:rPr>
      </w:pPr>
      <w:bookmarkStart w:id="50" w:name="_Toc15377223"/>
      <w:r>
        <w:rPr>
          <w:rFonts w:hint="eastAsia" w:ascii="楷体_GB2312" w:hAnsi="楷体_GB2312" w:eastAsia="楷体_GB2312" w:cs="楷体_GB2312"/>
          <w:b/>
          <w:color w:val="000000"/>
          <w:sz w:val="32"/>
          <w:szCs w:val="32"/>
        </w:rPr>
        <w:t>（二）政府采购支出情况</w:t>
      </w:r>
      <w:bookmarkEnd w:id="50"/>
    </w:p>
    <w:p>
      <w:pPr>
        <w:pageBreakBefore w:val="0"/>
        <w:kinsoku/>
        <w:wordWrap/>
        <w:overflowPunct/>
        <w:topLinePunct w:val="0"/>
        <w:bidi w:val="0"/>
        <w:spacing w:line="52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政法委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单位采购电脑、空调等办公设备</w:t>
      </w:r>
      <w:r>
        <w:rPr>
          <w:rFonts w:hint="eastAsia" w:ascii="仿宋_GB2312" w:eastAsia="仿宋_GB2312"/>
          <w:color w:val="000000"/>
          <w:sz w:val="32"/>
          <w:szCs w:val="32"/>
        </w:rPr>
        <w:t>。</w:t>
      </w:r>
    </w:p>
    <w:p>
      <w:pPr>
        <w:pageBreakBefore w:val="0"/>
        <w:kinsoku/>
        <w:wordWrap/>
        <w:overflowPunct/>
        <w:topLinePunct w:val="0"/>
        <w:bidi w:val="0"/>
        <w:spacing w:line="520" w:lineRule="exact"/>
        <w:ind w:firstLine="643" w:firstLineChars="200"/>
        <w:outlineLvl w:val="2"/>
        <w:rPr>
          <w:rFonts w:hint="eastAsia" w:ascii="楷体_GB2312" w:hAnsi="楷体_GB2312" w:eastAsia="楷体_GB2312" w:cs="楷体_GB2312"/>
          <w:b/>
          <w:color w:val="000000"/>
          <w:sz w:val="32"/>
          <w:szCs w:val="32"/>
        </w:rPr>
      </w:pPr>
      <w:bookmarkStart w:id="51" w:name="_Toc15377224"/>
      <w:r>
        <w:rPr>
          <w:rFonts w:hint="eastAsia" w:ascii="楷体_GB2312" w:hAnsi="楷体_GB2312" w:eastAsia="楷体_GB2312" w:cs="楷体_GB2312"/>
          <w:b/>
          <w:color w:val="000000"/>
          <w:sz w:val="32"/>
          <w:szCs w:val="32"/>
        </w:rPr>
        <w:t>（三）国有资产占有使用情况</w:t>
      </w:r>
      <w:bookmarkEnd w:id="51"/>
    </w:p>
    <w:p>
      <w:pPr>
        <w:pageBreakBefore w:val="0"/>
        <w:kinsoku/>
        <w:wordWrap/>
        <w:overflowPunct/>
        <w:topLinePunct w:val="0"/>
        <w:autoSpaceDE w:val="0"/>
        <w:autoSpaceDN w:val="0"/>
        <w:bidi w:val="0"/>
        <w:adjustRightInd w:val="0"/>
        <w:spacing w:line="52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政法委无公务车。</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pageBreakBefore w:val="0"/>
        <w:kinsoku/>
        <w:wordWrap/>
        <w:overflowPunct/>
        <w:topLinePunct w:val="0"/>
        <w:bidi w:val="0"/>
        <w:spacing w:line="520" w:lineRule="exact"/>
        <w:ind w:firstLine="643" w:firstLineChars="200"/>
        <w:rPr>
          <w:rFonts w:ascii="仿宋_GB2312" w:eastAsia="仿宋_GB2312"/>
          <w:b/>
          <w:color w:val="000000"/>
          <w:sz w:val="32"/>
          <w:szCs w:val="32"/>
        </w:rPr>
      </w:pPr>
    </w:p>
    <w:p>
      <w:pPr>
        <w:pageBreakBefore w:val="0"/>
        <w:widowControl/>
        <w:kinsoku/>
        <w:wordWrap/>
        <w:overflowPunct/>
        <w:topLinePunct w:val="0"/>
        <w:bidi w:val="0"/>
        <w:spacing w:line="520" w:lineRule="exact"/>
        <w:jc w:val="center"/>
        <w:rPr>
          <w:rFonts w:ascii="宋体"/>
          <w:b/>
          <w:color w:val="000000"/>
          <w:sz w:val="44"/>
          <w:szCs w:val="44"/>
        </w:rPr>
      </w:pPr>
      <w:r>
        <w:rPr>
          <w:rFonts w:ascii="仿宋_GB2312" w:eastAsia="仿宋_GB2312"/>
          <w:b/>
          <w:color w:val="000000"/>
          <w:sz w:val="32"/>
          <w:szCs w:val="32"/>
        </w:rPr>
        <w:br w:type="page"/>
      </w:r>
      <w:bookmarkStart w:id="52" w:name="_Toc15377225"/>
      <w:bookmarkStart w:id="53" w:name="_Toc15396613"/>
      <w:r>
        <w:rPr>
          <w:rFonts w:hint="eastAsia" w:ascii="黑体" w:hAnsi="黑体" w:eastAsia="黑体"/>
          <w:b/>
          <w:color w:val="000000"/>
          <w:sz w:val="44"/>
          <w:szCs w:val="44"/>
        </w:rPr>
        <w:t>名</w:t>
      </w:r>
      <w:r>
        <w:rPr>
          <w:rStyle w:val="14"/>
          <w:rFonts w:hint="eastAsia" w:ascii="黑体" w:hAnsi="黑体" w:eastAsia="黑体"/>
          <w:b w:val="0"/>
        </w:rPr>
        <w:t>词解释</w:t>
      </w:r>
      <w:bookmarkEnd w:id="52"/>
      <w:bookmarkEnd w:id="53"/>
    </w:p>
    <w:p>
      <w:pPr>
        <w:pStyle w:val="17"/>
        <w:pageBreakBefore w:val="0"/>
        <w:kinsoku/>
        <w:wordWrap/>
        <w:overflowPunct/>
        <w:topLinePunct w:val="0"/>
        <w:bidi w:val="0"/>
        <w:spacing w:line="520" w:lineRule="exact"/>
        <w:ind w:firstLine="640" w:firstLineChars="200"/>
        <w:rPr>
          <w:rFonts w:ascii="仿宋_GB2312" w:eastAsia="仿宋_GB2312"/>
          <w:sz w:val="32"/>
          <w:szCs w:val="32"/>
        </w:rPr>
      </w:pP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7"/>
        <w:pageBreakBefore w:val="0"/>
        <w:kinsoku/>
        <w:wordWrap/>
        <w:overflowPunct/>
        <w:topLinePunct w:val="0"/>
        <w:bidi w:val="0"/>
        <w:spacing w:line="52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9.一般公共服务（类）党委办公厅（室）及相关机构事务（款）行政运行（项）：指行政单位的基本支出。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10.一般公共服务（类）党委办公厅（室）及相关机构事务（款）一般行政管理事务（项）：指行政单位未单位设置项级科目的其他项目本支出。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11.社会保障和就业（类）财政对社会保险基金的补助（款）财政对基本养老保险基金的补助（项）：指财政对职工基本养老保险基金的补助支出。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12.社会保障和就业（类）财政对社会保险基金的补助（款）</w:t>
      </w:r>
      <w:r>
        <w:rPr>
          <w:rFonts w:hint="eastAsia" w:ascii="仿宋" w:hAnsi="仿宋" w:eastAsia="仿宋"/>
          <w:color w:val="000000"/>
          <w:sz w:val="32"/>
          <w:szCs w:val="32"/>
        </w:rPr>
        <w:br w:type="textWrapping"/>
      </w:r>
      <w:r>
        <w:rPr>
          <w:rFonts w:hint="eastAsia" w:ascii="仿宋" w:hAnsi="仿宋" w:eastAsia="仿宋"/>
          <w:color w:val="000000"/>
          <w:sz w:val="32"/>
          <w:szCs w:val="32"/>
        </w:rPr>
        <w:t>财政对失业保险基金的补助（项）：指财政对失业保险基金的补助支出。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13.社会保障和就业（类）财政对社会保险基金的补助（款）财政对工伤保险基金的补助（项）：指财政对工伤保险基金的补助支出。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14.社会保障和就业（类）财政对社会保险基金的补助（款）财政对生育保险基金的补助（项）：指财政对生育保险基金的补助支出。</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15.社会保障和就业（类）行政事业单位离退休（款）归口管理的行政单位离退休（项）：指归口管理的行政单位开支的离退休经费。</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16.医疗卫生与计划生育支出（类）医疗保障（款）行政单位医疗（项）：指财政部门集中安排的行政单位基本医疗保险缴费经费。</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17.医疗卫生与计划生育支出（类）医疗保障（款）公务员医疗补助（项）：指财政部门集中安排的公务员医疗补助经费。</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18.住房保障支出（类）住房改革支出（款）住房公积金（项）：指行政事业单位按人力资源和社会保障部、财政部规定的基本工资和津贴补贴以及规定比例为职工缴纳的住房公积金。</w:t>
      </w:r>
    </w:p>
    <w:p>
      <w:pPr>
        <w:pageBreakBefore w:val="0"/>
        <w:kinsoku/>
        <w:wordWrap/>
        <w:overflowPunct/>
        <w:topLinePunct w:val="0"/>
        <w:bidi w:val="0"/>
        <w:spacing w:line="52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w:t>
      </w:r>
      <w:r>
        <w:rPr>
          <w:rFonts w:hint="eastAsia" w:ascii="仿宋" w:hAnsi="仿宋" w:eastAsia="仿宋"/>
          <w:b/>
          <w:color w:val="000000"/>
          <w:sz w:val="32"/>
          <w:szCs w:val="32"/>
          <w:lang w:val="en-US" w:eastAsia="zh-CN"/>
        </w:rPr>
        <w:t>20</w:t>
      </w:r>
      <w:r>
        <w:rPr>
          <w:rFonts w:hint="eastAsia" w:ascii="仿宋" w:hAnsi="仿宋" w:eastAsia="仿宋"/>
          <w:b/>
          <w:color w:val="000000"/>
          <w:sz w:val="32"/>
          <w:szCs w:val="32"/>
        </w:rPr>
        <w:t>年政府收支分类科目》增减内容。）</w:t>
      </w:r>
    </w:p>
    <w:p>
      <w:pPr>
        <w:pageBreakBefore w:val="0"/>
        <w:kinsoku/>
        <w:wordWrap/>
        <w:overflowPunct/>
        <w:topLinePunct w:val="0"/>
        <w:bidi w:val="0"/>
        <w:spacing w:line="520" w:lineRule="exact"/>
        <w:ind w:firstLine="640" w:firstLineChars="200"/>
        <w:rPr>
          <w:rFonts w:ascii="仿宋_GB2312" w:eastAsia="仿宋_GB2312"/>
          <w:color w:val="000000"/>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pageBreakBefore w:val="0"/>
        <w:kinsoku/>
        <w:wordWrap/>
        <w:overflowPunct/>
        <w:topLinePunct w:val="0"/>
        <w:bidi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ageBreakBefore w:val="0"/>
        <w:kinsoku/>
        <w:wordWrap/>
        <w:overflowPunct/>
        <w:topLinePunct w:val="0"/>
        <w:bidi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7"/>
        <w:pageBreakBefore w:val="0"/>
        <w:kinsoku/>
        <w:wordWrap/>
        <w:overflowPunct/>
        <w:topLinePunct w:val="0"/>
        <w:bidi w:val="0"/>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pageBreakBefore w:val="0"/>
        <w:kinsoku/>
        <w:wordWrap/>
        <w:overflowPunct/>
        <w:topLinePunct w:val="0"/>
        <w:bidi w:val="0"/>
        <w:spacing w:line="520" w:lineRule="exact"/>
        <w:ind w:firstLine="640" w:firstLineChars="200"/>
        <w:rPr>
          <w:rFonts w:ascii="仿宋_GB2312" w:eastAsia="仿宋_GB2312" w:cs="黑体"/>
          <w:sz w:val="32"/>
          <w:szCs w:val="32"/>
        </w:rPr>
      </w:pPr>
      <w:r>
        <w:rPr>
          <w:rFonts w:hint="eastAsia" w:ascii="仿宋_GB2312" w:eastAsia="仿宋_GB2312"/>
          <w:sz w:val="32"/>
          <w:szCs w:val="32"/>
        </w:rPr>
        <w:t>2</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2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pageBreakBefore w:val="0"/>
        <w:kinsoku/>
        <w:wordWrap/>
        <w:overflowPunct/>
        <w:topLinePunct w:val="0"/>
        <w:bidi w:val="0"/>
        <w:spacing w:line="520" w:lineRule="exact"/>
        <w:jc w:val="center"/>
        <w:outlineLvl w:val="0"/>
        <w:rPr>
          <w:rStyle w:val="14"/>
          <w:rFonts w:ascii="黑体" w:hAnsi="黑体" w:eastAsia="黑体"/>
          <w:b w:val="0"/>
        </w:rPr>
      </w:pP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14"/>
          <w:rFonts w:hint="eastAsia" w:ascii="黑体" w:hAnsi="黑体" w:eastAsia="黑体"/>
          <w:b w:val="0"/>
        </w:rPr>
        <w:t>四部分附件</w:t>
      </w:r>
      <w:bookmarkEnd w:id="55"/>
    </w:p>
    <w:p>
      <w:pPr>
        <w:pageBreakBefore w:val="0"/>
        <w:kinsoku/>
        <w:wordWrap/>
        <w:overflowPunct/>
        <w:topLinePunct w:val="0"/>
        <w:bidi w:val="0"/>
        <w:spacing w:line="520" w:lineRule="exact"/>
        <w:jc w:val="center"/>
        <w:outlineLvl w:val="0"/>
        <w:rPr>
          <w:rStyle w:val="14"/>
        </w:rPr>
      </w:pPr>
    </w:p>
    <w:p>
      <w:pPr>
        <w:pStyle w:val="3"/>
        <w:pageBreakBefore w:val="0"/>
        <w:kinsoku/>
        <w:wordWrap/>
        <w:overflowPunct/>
        <w:topLinePunct w:val="0"/>
        <w:bidi w:val="0"/>
        <w:spacing w:line="520" w:lineRule="exact"/>
        <w:rPr>
          <w:rStyle w:val="14"/>
          <w:rFonts w:hint="eastAsia" w:ascii="黑体" w:hAnsi="黑体" w:eastAsia="黑体" w:cs="黑体"/>
          <w:b w:val="0"/>
          <w:bCs w:val="0"/>
          <w:sz w:val="32"/>
          <w:szCs w:val="32"/>
        </w:rPr>
      </w:pPr>
      <w:bookmarkStart w:id="56" w:name="_Toc15396615"/>
      <w:r>
        <w:rPr>
          <w:rStyle w:val="14"/>
          <w:rFonts w:hint="eastAsia" w:ascii="黑体" w:hAnsi="黑体" w:eastAsia="黑体" w:cs="黑体"/>
          <w:b w:val="0"/>
          <w:bCs w:val="0"/>
          <w:sz w:val="32"/>
          <w:szCs w:val="32"/>
        </w:rPr>
        <w:t>附件1</w:t>
      </w:r>
      <w:bookmarkEnd w:id="56"/>
    </w:p>
    <w:p>
      <w:pPr>
        <w:pageBreakBefore w:val="0"/>
        <w:kinsoku/>
        <w:wordWrap/>
        <w:overflowPunct/>
        <w:topLinePunct w:val="0"/>
        <w:bidi w:val="0"/>
        <w:spacing w:line="520" w:lineRule="exact"/>
        <w:jc w:val="center"/>
        <w:outlineLvl w:val="0"/>
        <w:rPr>
          <w:rFonts w:hint="eastAsia" w:ascii="方正小标宋简体" w:hAnsi="方正小标宋简体" w:eastAsia="方正小标宋简体" w:cs="方正小标宋简体"/>
          <w:sz w:val="44"/>
          <w:szCs w:val="44"/>
        </w:rPr>
      </w:pPr>
      <w:bookmarkStart w:id="57" w:name="_Toc15396616"/>
      <w:r>
        <w:rPr>
          <w:rFonts w:hint="eastAsia" w:ascii="方正小标宋简体" w:hAnsi="方正小标宋简体" w:eastAsia="方正小标宋简体" w:cs="方正小标宋简体"/>
          <w:sz w:val="44"/>
          <w:szCs w:val="44"/>
          <w:lang w:eastAsia="zh-CN"/>
        </w:rPr>
        <w:t>中共南江县委政法委员会</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年部门整体支出绩效评价报告</w:t>
      </w:r>
      <w:bookmarkEnd w:id="57"/>
    </w:p>
    <w:p>
      <w:pPr>
        <w:pageBreakBefore w:val="0"/>
        <w:kinsoku/>
        <w:wordWrap/>
        <w:overflowPunct/>
        <w:topLinePunct w:val="0"/>
        <w:bidi w:val="0"/>
        <w:spacing w:line="520" w:lineRule="exact"/>
        <w:ind w:firstLine="640" w:firstLineChars="200"/>
        <w:rPr>
          <w:rFonts w:ascii="黑体" w:hAnsi="黑体" w:eastAsia="黑体" w:cs="黑体"/>
          <w:sz w:val="32"/>
          <w:szCs w:val="32"/>
        </w:rPr>
      </w:pPr>
    </w:p>
    <w:p>
      <w:pPr>
        <w:pageBreakBefore w:val="0"/>
        <w:kinsoku/>
        <w:wordWrap/>
        <w:overflowPunct/>
        <w:topLinePunct w:val="0"/>
        <w:bidi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（一）机构组成</w:t>
      </w:r>
    </w:p>
    <w:p>
      <w:pPr>
        <w:pageBreakBefore w:val="0"/>
        <w:kinsoku/>
        <w:wordWrap/>
        <w:overflowPunct/>
        <w:topLinePunct w:val="0"/>
        <w:bidi w:val="0"/>
        <w:spacing w:line="520" w:lineRule="exact"/>
        <w:ind w:firstLine="640" w:firstLineChars="200"/>
        <w:rPr>
          <w:rFonts w:ascii="仿宋" w:hAnsi="仿宋" w:eastAsia="仿宋" w:cs="仿宋_GB2312"/>
          <w:sz w:val="32"/>
          <w:szCs w:val="32"/>
        </w:rPr>
      </w:pPr>
      <w:r>
        <w:rPr>
          <w:rFonts w:hint="eastAsia" w:ascii="仿宋" w:hAnsi="仿宋" w:eastAsia="仿宋" w:cs="仿宋"/>
          <w:sz w:val="32"/>
          <w:szCs w:val="32"/>
        </w:rPr>
        <w:t>中共南江县委政法委员会实行综合预算制度，即全部收入和支出都纳入预算管理。内设办公室、维稳指导室、综治督导室（专项行动办公室）、矛盾多元化解指导室（执法监督和信访室）、政治处、机关党委。南江县法学会是县委群团组织，由政法委代管。政法委下设事业单位</w:t>
      </w:r>
      <w:r>
        <w:rPr>
          <w:rFonts w:hint="eastAsia" w:ascii="仿宋" w:hAnsi="仿宋" w:eastAsia="仿宋" w:cs="仿宋"/>
          <w:sz w:val="32"/>
          <w:szCs w:val="32"/>
          <w:lang w:val="en-US" w:eastAsia="zh-CN"/>
        </w:rPr>
        <w:t>南江县社会治安综合治理</w:t>
      </w:r>
      <w:r>
        <w:rPr>
          <w:rFonts w:hint="eastAsia" w:ascii="仿宋" w:hAnsi="仿宋" w:eastAsia="仿宋" w:cs="仿宋"/>
          <w:sz w:val="32"/>
          <w:szCs w:val="32"/>
        </w:rPr>
        <w:t>中心（简称</w:t>
      </w:r>
      <w:r>
        <w:rPr>
          <w:rFonts w:hint="eastAsia" w:ascii="仿宋" w:hAnsi="仿宋" w:eastAsia="仿宋" w:cs="仿宋"/>
          <w:sz w:val="32"/>
          <w:szCs w:val="32"/>
          <w:lang w:val="en-US" w:eastAsia="zh-CN"/>
        </w:rPr>
        <w:t>社会治安综合治理</w:t>
      </w:r>
      <w:r>
        <w:rPr>
          <w:rFonts w:hint="eastAsia" w:ascii="仿宋" w:hAnsi="仿宋" w:eastAsia="仿宋" w:cs="仿宋"/>
          <w:sz w:val="32"/>
          <w:szCs w:val="32"/>
        </w:rPr>
        <w:t>中心）。</w:t>
      </w:r>
    </w:p>
    <w:p>
      <w:pPr>
        <w:pageBreakBefore w:val="0"/>
        <w:numPr>
          <w:ilvl w:val="0"/>
          <w:numId w:val="5"/>
        </w:numPr>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机构职能</w:t>
      </w:r>
    </w:p>
    <w:p>
      <w:pPr>
        <w:pageBreakBefore w:val="0"/>
        <w:kinsoku/>
        <w:wordWrap/>
        <w:overflowPunct/>
        <w:topLinePunct w:val="0"/>
        <w:bidi w:val="0"/>
        <w:spacing w:line="520" w:lineRule="exact"/>
        <w:ind w:firstLine="480" w:firstLineChars="1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1.深入贯彻党的路线方针政策和决策部署，统一政法各部门思想和行动，坚持党对政法工作的绝对领导，坚决维护党中央权威和集中统一领导。</w:t>
      </w:r>
    </w:p>
    <w:p>
      <w:pPr>
        <w:pageBreakBefore w:val="0"/>
        <w:kinsoku/>
        <w:wordWrap/>
        <w:overflowPunct/>
        <w:topLinePunct w:val="0"/>
        <w:bidi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深入贯彻党中央决定和省委、市委、县委决策，对政法工作研究提出全局性部署，推进平安南江、法治南江建设，加强过硬队伍建设，深化智能化建设，坚决维护国家政治安全、确保社会大局稳定、促进社会公平正义、保障人民安居乐业。</w:t>
      </w:r>
    </w:p>
    <w:p>
      <w:pPr>
        <w:pageBreakBefore w:val="0"/>
        <w:kinsoku/>
        <w:wordWrap/>
        <w:overflowPunct/>
        <w:topLinePunct w:val="0"/>
        <w:bidi w:val="0"/>
        <w:spacing w:line="520"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sz w:val="32"/>
          <w:szCs w:val="32"/>
        </w:rPr>
        <w:t>3.了解掌握和分析研判政法工作情况动态，分析全县社会稳定形势，创新完善多部门参与的综治维稳工作机制，构建矛盾纠纷多元化解体系和机制，协调推动预防、化解影响稳定的社会矛盾和风险，协调应对和处置重大突发事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4.加强对政法工作的督查，统筹协调维护政治安全、社会治安综合治理、维护社会稳定、反邪教有关法律法规政策的实施工作;指导全县政法系统网络安全和智能化建设工作。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5.组织开展政法领域的调查研究，研究拟订全县政法工作的政策措施，及时向县委提出决策建议;参与有关法规、规章的起草、修改工作，及时提出立法建议。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6.掌握分析政法舆情动态，指导协调政法部门媒体网络宣传工作，指导政法部门做好涉及政法工作的重大宣传和舆论引导工作。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7.监督和支持政法各部门依法行使职权，指导和协调政法各部门密切配合，研究和协调重大、疑难案件，推进严格执法、公正司法。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8.组织研究政法改革中带有方向性、倾向性和普遍性的重大问题，深化政法改革。</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9.指导推动政法系统党的建设和政法队伍建设，协同县级有关职能部门管理监督政法领导干部，代管南江县法学会。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10.完成县委交办的其他任务。</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（三）人员概况</w:t>
      </w:r>
    </w:p>
    <w:p>
      <w:pPr>
        <w:pageBreakBefore w:val="0"/>
        <w:kinsoku/>
        <w:wordWrap/>
        <w:overflowPunct/>
        <w:topLinePunct w:val="0"/>
        <w:bidi w:val="0"/>
        <w:spacing w:line="520" w:lineRule="exact"/>
        <w:ind w:firstLine="640" w:firstLineChars="200"/>
        <w:rPr>
          <w:rFonts w:ascii="仿宋" w:hAnsi="仿宋" w:eastAsia="仿宋" w:cs="仿宋_GB2312"/>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年财政预算供给人员共</w:t>
      </w:r>
      <w:r>
        <w:rPr>
          <w:rFonts w:hint="eastAsia" w:ascii="仿宋" w:hAnsi="仿宋" w:eastAsia="仿宋" w:cs="仿宋"/>
          <w:sz w:val="32"/>
          <w:szCs w:val="32"/>
          <w:lang w:val="en-US" w:eastAsia="zh-CN"/>
        </w:rPr>
        <w:t>25</w:t>
      </w:r>
      <w:r>
        <w:rPr>
          <w:rFonts w:hint="eastAsia" w:ascii="仿宋" w:hAnsi="仿宋" w:eastAsia="仿宋" w:cs="仿宋"/>
          <w:sz w:val="32"/>
          <w:szCs w:val="32"/>
        </w:rPr>
        <w:t>人</w:t>
      </w:r>
      <w:r>
        <w:rPr>
          <w:rFonts w:hint="eastAsia" w:ascii="仿宋" w:hAnsi="仿宋" w:eastAsia="仿宋" w:cs="仿宋"/>
          <w:sz w:val="32"/>
          <w:szCs w:val="32"/>
          <w:lang w:eastAsia="zh-CN"/>
        </w:rPr>
        <w:t>（政法委机关行政编制实有人数</w:t>
      </w:r>
      <w:r>
        <w:rPr>
          <w:rFonts w:hint="eastAsia" w:ascii="仿宋" w:hAnsi="仿宋" w:eastAsia="仿宋" w:cs="仿宋"/>
          <w:sz w:val="32"/>
          <w:szCs w:val="32"/>
          <w:lang w:val="en-US" w:eastAsia="zh-CN"/>
        </w:rPr>
        <w:t>10人，机关工勤编制实有人数3人；纪委监委派驻政法委纪检组行政编制实有人数3人；</w:t>
      </w:r>
      <w:r>
        <w:rPr>
          <w:rFonts w:hint="eastAsia" w:ascii="仿宋" w:hAnsi="仿宋" w:eastAsia="仿宋" w:cs="仿宋"/>
          <w:sz w:val="32"/>
          <w:szCs w:val="32"/>
        </w:rPr>
        <w:t>政法委下设事业单位</w:t>
      </w:r>
      <w:r>
        <w:rPr>
          <w:rFonts w:hint="eastAsia" w:ascii="仿宋" w:hAnsi="仿宋" w:eastAsia="仿宋" w:cs="仿宋"/>
          <w:sz w:val="32"/>
          <w:szCs w:val="32"/>
          <w:lang w:val="en-US" w:eastAsia="zh-CN"/>
        </w:rPr>
        <w:t>南江县社会治安综合治理</w:t>
      </w:r>
      <w:r>
        <w:rPr>
          <w:rFonts w:hint="eastAsia" w:ascii="仿宋" w:hAnsi="仿宋" w:eastAsia="仿宋" w:cs="仿宋"/>
          <w:sz w:val="32"/>
          <w:szCs w:val="32"/>
        </w:rPr>
        <w:t>中心（简称</w:t>
      </w:r>
      <w:r>
        <w:rPr>
          <w:rFonts w:hint="eastAsia" w:ascii="仿宋" w:hAnsi="仿宋" w:eastAsia="仿宋" w:cs="仿宋"/>
          <w:sz w:val="32"/>
          <w:szCs w:val="32"/>
          <w:lang w:val="en-US" w:eastAsia="zh-CN"/>
        </w:rPr>
        <w:t>社会治安综合治理</w:t>
      </w:r>
      <w:r>
        <w:rPr>
          <w:rFonts w:hint="eastAsia" w:ascii="仿宋" w:hAnsi="仿宋" w:eastAsia="仿宋" w:cs="仿宋"/>
          <w:sz w:val="32"/>
          <w:szCs w:val="32"/>
        </w:rPr>
        <w:t>中心）。</w:t>
      </w:r>
      <w:r>
        <w:rPr>
          <w:rFonts w:hint="eastAsia" w:ascii="仿宋" w:hAnsi="仿宋" w:eastAsia="仿宋" w:cs="仿宋"/>
          <w:sz w:val="32"/>
          <w:szCs w:val="32"/>
          <w:lang w:eastAsia="zh-CN"/>
        </w:rPr>
        <w:t>事业编制实有人数</w:t>
      </w:r>
      <w:r>
        <w:rPr>
          <w:rFonts w:hint="eastAsia" w:ascii="仿宋" w:hAnsi="仿宋" w:eastAsia="仿宋" w:cs="仿宋"/>
          <w:sz w:val="32"/>
          <w:szCs w:val="32"/>
          <w:lang w:val="en-US" w:eastAsia="zh-CN"/>
        </w:rPr>
        <w:t>9人</w:t>
      </w:r>
      <w:r>
        <w:rPr>
          <w:rFonts w:hint="eastAsia" w:ascii="仿宋" w:hAnsi="仿宋" w:eastAsia="仿宋" w:cs="仿宋"/>
          <w:sz w:val="32"/>
          <w:szCs w:val="32"/>
        </w:rPr>
        <w:t>，供给车辆0辆。有下属二级预算单位0个，其中行政单位0个，参照公务员法管理的事业单位0个，其他事业单位1个。</w:t>
      </w:r>
    </w:p>
    <w:p>
      <w:pPr>
        <w:pageBreakBefore w:val="0"/>
        <w:kinsoku/>
        <w:wordWrap/>
        <w:overflowPunct/>
        <w:topLinePunct w:val="0"/>
        <w:bidi w:val="0"/>
        <w:spacing w:line="52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（一）部门财政资金收入情况</w:t>
      </w:r>
    </w:p>
    <w:p>
      <w:pPr>
        <w:pageBreakBefore w:val="0"/>
        <w:kinsoku/>
        <w:wordWrap/>
        <w:overflowPunct/>
        <w:topLinePunct w:val="0"/>
        <w:bidi w:val="0"/>
        <w:spacing w:line="520" w:lineRule="exact"/>
        <w:ind w:firstLine="640" w:firstLineChars="200"/>
        <w:outlineLvl w:val="1"/>
        <w:rPr>
          <w:rFonts w:ascii="仿宋" w:hAnsi="仿宋" w:eastAsia="仿宋" w:cs="仿宋_GB2312"/>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年本年财政资金收入合计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numPr>
          <w:ilvl w:val="0"/>
          <w:numId w:val="5"/>
        </w:numPr>
        <w:kinsoku/>
        <w:wordWrap/>
        <w:overflowPunct/>
        <w:topLinePunct w:val="0"/>
        <w:bidi w:val="0"/>
        <w:spacing w:line="52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部门财政资金支出情况</w:t>
      </w:r>
    </w:p>
    <w:p>
      <w:pPr>
        <w:pageBreakBefore w:val="0"/>
        <w:kinsoku/>
        <w:wordWrap/>
        <w:overflowPunct/>
        <w:topLinePunct w:val="0"/>
        <w:bidi w:val="0"/>
        <w:spacing w:line="52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年本年财政资金支出合计</w:t>
      </w:r>
      <w:r>
        <w:rPr>
          <w:rFonts w:hint="eastAsia" w:ascii="仿宋" w:hAnsi="仿宋" w:eastAsia="仿宋"/>
          <w:color w:val="000000"/>
          <w:sz w:val="32"/>
          <w:szCs w:val="32"/>
          <w:lang w:val="en-US" w:eastAsia="zh-CN"/>
        </w:rPr>
        <w:t>2021.2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436.9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1584.3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20" w:lineRule="exact"/>
        <w:ind w:firstLine="64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（一）部门预算管理</w:t>
      </w:r>
    </w:p>
    <w:p>
      <w:pPr>
        <w:pageBreakBefore w:val="0"/>
        <w:kinsoku/>
        <w:wordWrap/>
        <w:overflowPunct/>
        <w:topLinePunct w:val="0"/>
        <w:bidi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年度全年预算财政拨款支出严格按照20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年预算口径编制年初预算，加强预算动态调整，按照财政规定进度申报资金计划，安排预算支出，严格控制预算支出范围，加强预算执行。年终达到全面完成预算，无违规记录发生。</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（二）专项预算管理</w:t>
      </w:r>
    </w:p>
    <w:p>
      <w:pPr>
        <w:pageBreakBefore w:val="0"/>
        <w:kinsoku/>
        <w:wordWrap/>
        <w:overflowPunct/>
        <w:topLinePunct w:val="0"/>
        <w:bidi w:val="0"/>
        <w:spacing w:line="520" w:lineRule="exact"/>
        <w:ind w:firstLine="640" w:firstLineChars="200"/>
        <w:rPr>
          <w:rFonts w:ascii="仿宋" w:hAnsi="仿宋" w:eastAsia="仿宋" w:cs="仿宋_GB2312"/>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年度专项预算严格按照财政预算口径编报财政专项预算，严格专款专用，加强项目绩效考核。全面完成预算执行，无违规记录发生。</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（三）结果应用情况</w:t>
      </w:r>
    </w:p>
    <w:p>
      <w:pPr>
        <w:pStyle w:val="9"/>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rPr>
        <w:t>进一步优化支出结构，控制三公经费支出，压缩一般性支出，坚决抵制铺张浪费行为，降低政府运行成本，从自身做起，合理调度财政资金，保证正常的工作运转，实现财政资金利益最大化。</w:t>
      </w:r>
    </w:p>
    <w:p>
      <w:pPr>
        <w:pageBreakBefore w:val="0"/>
        <w:kinsoku/>
        <w:wordWrap/>
        <w:overflowPunct/>
        <w:topLinePunct w:val="0"/>
        <w:bidi w:val="0"/>
        <w:spacing w:line="52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（一）评价结论</w:t>
      </w:r>
    </w:p>
    <w:p>
      <w:pPr>
        <w:pStyle w:val="9"/>
        <w:keepNext w:val="0"/>
        <w:keepLines w:val="0"/>
        <w:widowControl/>
        <w:suppressLineNumbers w:val="0"/>
        <w:spacing w:before="0" w:beforeAutospacing="0" w:after="0" w:afterAutospacing="0" w:line="560" w:lineRule="atLeast"/>
        <w:ind w:left="0" w:right="0" w:firstLine="640"/>
        <w:jc w:val="both"/>
        <w:rPr>
          <w:rFonts w:ascii="仿宋" w:hAnsi="仿宋" w:eastAsia="仿宋" w:cs="仿宋_GB2312"/>
          <w:sz w:val="32"/>
          <w:szCs w:val="32"/>
        </w:rPr>
      </w:pPr>
      <w:r>
        <w:rPr>
          <w:rFonts w:ascii="仿宋" w:hAnsi="仿宋" w:eastAsia="仿宋" w:cs="仿宋"/>
          <w:sz w:val="32"/>
          <w:szCs w:val="32"/>
        </w:rPr>
        <w:t>确保了</w:t>
      </w:r>
      <w:r>
        <w:rPr>
          <w:rFonts w:hint="eastAsia" w:ascii="仿宋" w:hAnsi="仿宋" w:eastAsia="仿宋" w:cs="仿宋"/>
          <w:sz w:val="32"/>
          <w:szCs w:val="32"/>
          <w:lang w:eastAsia="zh-CN"/>
        </w:rPr>
        <w:t>政法委机关</w:t>
      </w:r>
      <w:r>
        <w:rPr>
          <w:rFonts w:ascii="仿宋" w:hAnsi="仿宋" w:eastAsia="仿宋" w:cs="仿宋"/>
          <w:sz w:val="32"/>
          <w:szCs w:val="32"/>
        </w:rPr>
        <w:t>年度内各项工作正常运转。</w:t>
      </w:r>
    </w:p>
    <w:p>
      <w:pPr>
        <w:pageBreakBefore w:val="0"/>
        <w:numPr>
          <w:ilvl w:val="0"/>
          <w:numId w:val="6"/>
        </w:numPr>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存在问题</w:t>
      </w:r>
    </w:p>
    <w:p>
      <w:pPr>
        <w:pStyle w:val="9"/>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_GB2312"/>
          <w:sz w:val="32"/>
          <w:szCs w:val="32"/>
          <w:lang w:eastAsia="zh-CN"/>
        </w:rPr>
      </w:pPr>
      <w:r>
        <w:rPr>
          <w:rFonts w:ascii="仿宋" w:hAnsi="仿宋" w:eastAsia="仿宋" w:cs="仿宋"/>
          <w:sz w:val="32"/>
          <w:szCs w:val="32"/>
        </w:rPr>
        <w:t>预算编制的合理性有待提高，预算编制工作需更细化</w:t>
      </w:r>
      <w:r>
        <w:rPr>
          <w:rFonts w:hint="eastAsia" w:ascii="仿宋" w:hAnsi="仿宋" w:eastAsia="仿宋" w:cs="仿宋"/>
          <w:sz w:val="32"/>
          <w:szCs w:val="32"/>
          <w:lang w:eastAsia="zh-CN"/>
        </w:rPr>
        <w:t>。</w:t>
      </w:r>
    </w:p>
    <w:p>
      <w:pPr>
        <w:pageBreakBefore w:val="0"/>
        <w:numPr>
          <w:ilvl w:val="0"/>
          <w:numId w:val="6"/>
        </w:numPr>
        <w:kinsoku/>
        <w:wordWrap/>
        <w:overflowPunct/>
        <w:topLinePunct w:val="0"/>
        <w:bidi w:val="0"/>
        <w:spacing w:line="52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改进建议</w:t>
      </w:r>
    </w:p>
    <w:p>
      <w:pPr>
        <w:pStyle w:val="9"/>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rPr>
        <w:t>1.</w:t>
      </w:r>
      <w:r>
        <w:rPr>
          <w:rFonts w:ascii="仿宋_GB2312" w:hAnsi="仿宋" w:eastAsia="仿宋_GB2312" w:cs="仿宋_GB2312"/>
          <w:sz w:val="32"/>
          <w:szCs w:val="32"/>
        </w:rPr>
        <w:t>细化预算编制工作，严格按照预算编制的相关制度和要求做好预算的编制，进一步加强各站所的预算管理意识；全面编制预算项目，优先保障固定的、相对刚性的费用支出项目，尽量压缩变动的、有控制空间的费用项目，进一步提高预算编制的科学性、严谨性和可控性。</w:t>
      </w:r>
    </w:p>
    <w:p>
      <w:pPr>
        <w:pStyle w:val="9"/>
        <w:keepNext w:val="0"/>
        <w:keepLines w:val="0"/>
        <w:widowControl/>
        <w:suppressLineNumbers w:val="0"/>
        <w:spacing w:before="0" w:beforeAutospacing="0" w:after="0" w:afterAutospacing="0" w:line="560" w:lineRule="atLeast"/>
        <w:ind w:left="0" w:right="0" w:firstLine="640"/>
        <w:jc w:val="both"/>
        <w:rPr>
          <w:rFonts w:hint="default" w:ascii="仿宋_GB2312" w:hAnsi="仿宋" w:eastAsia="仿宋_GB2312" w:cs="仿宋_GB2312"/>
          <w:sz w:val="32"/>
          <w:szCs w:val="32"/>
        </w:rPr>
      </w:pPr>
      <w:r>
        <w:rPr>
          <w:rFonts w:hint="eastAsia" w:ascii="仿宋" w:hAnsi="仿宋" w:eastAsia="仿宋" w:cs="仿宋"/>
          <w:sz w:val="32"/>
          <w:szCs w:val="32"/>
        </w:rPr>
        <w:t>2.</w:t>
      </w:r>
      <w:r>
        <w:rPr>
          <w:rFonts w:hint="default" w:ascii="仿宋_GB2312" w:hAnsi="仿宋" w:eastAsia="仿宋_GB2312" w:cs="仿宋_GB2312"/>
          <w:sz w:val="32"/>
          <w:szCs w:val="32"/>
        </w:rPr>
        <w:t>建立健全财务管理制度及内部控制制度，积极探索在新形势下财政支出改革的特点，不断更新管理思路，在规范财政收支和控制经费增长上，创新管理手段，用新思路、新方法，改进完善财务管理方法。</w:t>
      </w:r>
    </w:p>
    <w:p>
      <w:pPr>
        <w:pStyle w:val="9"/>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w:t>
      </w:r>
      <w:r>
        <w:rPr>
          <w:rFonts w:hint="default" w:ascii="仿宋_GB2312" w:hAnsi="仿宋" w:eastAsia="仿宋_GB2312" w:cs="仿宋_GB2312"/>
          <w:sz w:val="32"/>
          <w:szCs w:val="32"/>
        </w:rPr>
        <w:t>按照财政支出绩效管理的要求，建立科学的财政资金效益考评体系，牢固树立行政成本意识，不断提高财政资金使用管理的水平和效率。</w:t>
      </w: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20" w:lineRule="exact"/>
        <w:jc w:val="left"/>
        <w:rPr>
          <w:rFonts w:ascii="仿宋_GB2312" w:hAnsi="仿宋_GB2312" w:eastAsia="仿宋_GB2312" w:cs="仿宋_GB2312"/>
          <w:sz w:val="32"/>
          <w:szCs w:val="32"/>
        </w:rPr>
      </w:pPr>
    </w:p>
    <w:p>
      <w:pPr>
        <w:pStyle w:val="3"/>
        <w:pageBreakBefore w:val="0"/>
        <w:kinsoku/>
        <w:wordWrap/>
        <w:overflowPunct/>
        <w:topLinePunct w:val="0"/>
        <w:bidi w:val="0"/>
        <w:spacing w:line="520" w:lineRule="exact"/>
        <w:rPr>
          <w:rStyle w:val="14"/>
          <w:rFonts w:hint="eastAsia" w:ascii="黑体" w:hAnsi="黑体" w:eastAsia="黑体" w:cs="黑体"/>
          <w:b w:val="0"/>
          <w:bCs w:val="0"/>
          <w:sz w:val="32"/>
          <w:szCs w:val="32"/>
        </w:rPr>
      </w:pPr>
      <w:bookmarkStart w:id="58" w:name="_Toc15396617"/>
      <w:r>
        <w:rPr>
          <w:rStyle w:val="14"/>
          <w:rFonts w:hint="eastAsia" w:ascii="黑体" w:hAnsi="黑体" w:eastAsia="黑体" w:cs="黑体"/>
          <w:b w:val="0"/>
          <w:bCs w:val="0"/>
          <w:sz w:val="32"/>
          <w:szCs w:val="32"/>
        </w:rPr>
        <w:t>附件2</w:t>
      </w:r>
      <w:bookmarkEnd w:id="58"/>
    </w:p>
    <w:p>
      <w:pPr>
        <w:pageBreakBefore w:val="0"/>
        <w:kinsoku/>
        <w:wordWrap/>
        <w:overflowPunct/>
        <w:topLinePunct w:val="0"/>
        <w:bidi w:val="0"/>
        <w:spacing w:line="5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政法委平安创建、综治、维稳、防邪及国安工作经费项目支出绩效评价报告</w:t>
      </w:r>
    </w:p>
    <w:p>
      <w:pPr>
        <w:pageBreakBefore w:val="0"/>
        <w:kinsoku/>
        <w:wordWrap/>
        <w:overflowPunct/>
        <w:topLinePunct w:val="0"/>
        <w:bidi w:val="0"/>
        <w:spacing w:line="52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一、评价工作开展及项目情况</w:t>
      </w:r>
    </w:p>
    <w:p>
      <w:pPr>
        <w:keepNext w:val="0"/>
        <w:keepLines w:val="0"/>
        <w:widowControl/>
        <w:suppressLineNumbers w:val="0"/>
        <w:spacing w:before="0" w:beforeAutospacing="0" w:after="0" w:afterAutospacing="0" w:line="600" w:lineRule="exact"/>
        <w:ind w:left="0" w:right="0" w:firstLine="640" w:firstLineChars="200"/>
        <w:jc w:val="left"/>
        <w:rPr>
          <w:rFonts w:ascii="仿宋" w:hAnsi="仿宋" w:eastAsia="仿宋" w:cs="仿宋_GB2312"/>
          <w:sz w:val="32"/>
          <w:szCs w:val="32"/>
        </w:rPr>
      </w:pPr>
      <w:r>
        <w:rPr>
          <w:rFonts w:ascii="仿宋_GB2312" w:hAnsi="仿宋" w:eastAsia="仿宋_GB2312" w:cs="仿宋_GB2312"/>
          <w:kern w:val="0"/>
          <w:sz w:val="32"/>
          <w:szCs w:val="32"/>
          <w:lang w:val="en-US" w:eastAsia="zh-CN" w:bidi="ar"/>
        </w:rPr>
        <w:t>根据项目支出绩效评价指标体系，</w:t>
      </w:r>
      <w:r>
        <w:rPr>
          <w:rFonts w:hint="eastAsia" w:ascii="仿宋_GB2312" w:hAnsi="仿宋" w:eastAsia="仿宋_GB2312" w:cs="仿宋_GB2312"/>
          <w:kern w:val="0"/>
          <w:sz w:val="32"/>
          <w:szCs w:val="32"/>
          <w:lang w:val="en-US" w:eastAsia="zh-CN" w:bidi="ar"/>
        </w:rPr>
        <w:t>2021年平安创建、综治、维稳、防邪及国安工作经费项目预算资金30万元</w:t>
      </w:r>
      <w:r>
        <w:rPr>
          <w:rFonts w:hint="eastAsia" w:ascii="仿宋_GB2312" w:hAnsi="Times New Roman" w:eastAsia="仿宋_GB2312" w:cs="Times New Roman"/>
          <w:kern w:val="0"/>
          <w:sz w:val="32"/>
          <w:szCs w:val="32"/>
          <w:lang w:val="en-US" w:eastAsia="zh-CN" w:bidi="ar"/>
        </w:rPr>
        <w:t>，主要用于</w:t>
      </w:r>
      <w:r>
        <w:rPr>
          <w:rFonts w:hint="eastAsia" w:ascii="仿宋_GB2312" w:eastAsia="仿宋_GB2312" w:cs="Times New Roman"/>
          <w:kern w:val="0"/>
          <w:sz w:val="32"/>
          <w:szCs w:val="32"/>
          <w:lang w:val="en-US" w:eastAsia="zh-CN" w:bidi="ar"/>
        </w:rPr>
        <w:t>全</w:t>
      </w:r>
      <w:r>
        <w:rPr>
          <w:rFonts w:hint="eastAsia" w:ascii="仿宋_GB2312" w:hAnsi="Times New Roman" w:eastAsia="仿宋_GB2312" w:cs="Times New Roman"/>
          <w:kern w:val="0"/>
          <w:sz w:val="32"/>
          <w:szCs w:val="32"/>
          <w:lang w:val="en-US" w:eastAsia="zh-CN" w:bidi="ar"/>
        </w:rPr>
        <w:t>县重要特殊</w:t>
      </w:r>
      <w:r>
        <w:rPr>
          <w:rFonts w:hint="eastAsia" w:ascii="仿宋_GB2312" w:eastAsia="仿宋_GB2312" w:cs="Times New Roman"/>
          <w:kern w:val="0"/>
          <w:sz w:val="32"/>
          <w:szCs w:val="32"/>
          <w:lang w:val="en-US" w:eastAsia="zh-CN" w:bidi="ar"/>
        </w:rPr>
        <w:t>敏感</w:t>
      </w:r>
      <w:r>
        <w:rPr>
          <w:rFonts w:hint="eastAsia" w:ascii="仿宋_GB2312" w:hAnsi="Times New Roman" w:eastAsia="仿宋_GB2312" w:cs="Times New Roman"/>
          <w:kern w:val="0"/>
          <w:sz w:val="32"/>
          <w:szCs w:val="32"/>
          <w:lang w:val="en-US" w:eastAsia="zh-CN" w:bidi="ar"/>
        </w:rPr>
        <w:t>时</w:t>
      </w:r>
      <w:r>
        <w:rPr>
          <w:rFonts w:hint="eastAsia" w:ascii="仿宋_GB2312" w:eastAsia="仿宋_GB2312" w:cs="Times New Roman"/>
          <w:kern w:val="0"/>
          <w:sz w:val="32"/>
          <w:szCs w:val="32"/>
          <w:lang w:val="en-US" w:eastAsia="zh-CN" w:bidi="ar"/>
        </w:rPr>
        <w:t>期</w:t>
      </w:r>
      <w:r>
        <w:rPr>
          <w:rFonts w:hint="eastAsia" w:ascii="仿宋_GB2312" w:hAnsi="Times New Roman" w:eastAsia="仿宋_GB2312" w:cs="Times New Roman"/>
          <w:kern w:val="0"/>
          <w:sz w:val="32"/>
          <w:szCs w:val="32"/>
          <w:lang w:val="en-US" w:eastAsia="zh-CN" w:bidi="ar"/>
        </w:rPr>
        <w:t>维稳</w:t>
      </w:r>
      <w:r>
        <w:rPr>
          <w:rFonts w:hint="eastAsia" w:ascii="仿宋_GB2312" w:eastAsia="仿宋_GB2312" w:cs="Times New Roman"/>
          <w:kern w:val="0"/>
          <w:sz w:val="32"/>
          <w:szCs w:val="32"/>
          <w:lang w:val="en-US" w:eastAsia="zh-CN" w:bidi="ar"/>
        </w:rPr>
        <w:t>、综治及邪教防范</w:t>
      </w:r>
      <w:r>
        <w:rPr>
          <w:rFonts w:hint="eastAsia" w:ascii="仿宋_GB2312" w:hAnsi="Times New Roman" w:eastAsia="仿宋_GB2312" w:cs="Times New Roman"/>
          <w:kern w:val="0"/>
          <w:sz w:val="32"/>
          <w:szCs w:val="32"/>
          <w:lang w:val="en-US" w:eastAsia="zh-CN" w:bidi="ar"/>
        </w:rPr>
        <w:t>工作</w:t>
      </w:r>
      <w:r>
        <w:rPr>
          <w:rFonts w:hint="eastAsia" w:ascii="仿宋_GB2312" w:eastAsia="仿宋_GB2312" w:cs="Times New Roman"/>
          <w:kern w:val="0"/>
          <w:sz w:val="32"/>
          <w:szCs w:val="32"/>
          <w:lang w:val="en-US" w:eastAsia="zh-CN" w:bidi="ar"/>
        </w:rPr>
        <w:t>开展等专项支出</w:t>
      </w:r>
      <w:r>
        <w:rPr>
          <w:rFonts w:hint="eastAsia" w:ascii="仿宋_GB2312" w:hAnsi="Times New Roman" w:eastAsia="仿宋_GB2312" w:cs="Times New Roman"/>
          <w:kern w:val="0"/>
          <w:sz w:val="32"/>
          <w:szCs w:val="32"/>
          <w:lang w:val="en-US" w:eastAsia="zh-CN" w:bidi="ar"/>
        </w:rPr>
        <w:t>，项目申报内容与实际相符，申报目标合理可行。</w:t>
      </w:r>
    </w:p>
    <w:p>
      <w:pPr>
        <w:pageBreakBefore w:val="0"/>
        <w:kinsoku/>
        <w:wordWrap/>
        <w:overflowPunct/>
        <w:topLinePunct w:val="0"/>
        <w:bidi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二、评价结论及绩效分析</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实施决策正确</w:t>
      </w:r>
      <w:r>
        <w:rPr>
          <w:rFonts w:hint="eastAsia" w:ascii="仿宋" w:hAnsi="仿宋" w:eastAsia="仿宋" w:cs="仿宋_GB2312"/>
          <w:sz w:val="32"/>
          <w:szCs w:val="32"/>
          <w:lang w:eastAsia="zh-CN"/>
        </w:rPr>
        <w:t>，适应新的发展需求，对重大涉稳事项、</w:t>
      </w:r>
      <w:r>
        <w:rPr>
          <w:rFonts w:hint="eastAsia" w:ascii="仿宋_GB2312" w:eastAsia="仿宋_GB2312" w:cs="Times New Roman"/>
          <w:kern w:val="0"/>
          <w:sz w:val="32"/>
          <w:szCs w:val="32"/>
          <w:lang w:val="en-US" w:eastAsia="zh-CN" w:bidi="ar"/>
        </w:rPr>
        <w:t>综合治理及邪教防范工作有序开展，</w:t>
      </w:r>
      <w:r>
        <w:rPr>
          <w:rFonts w:hint="eastAsia" w:ascii="仿宋" w:hAnsi="仿宋" w:eastAsia="仿宋" w:cs="仿宋_GB2312"/>
          <w:sz w:val="32"/>
          <w:szCs w:val="32"/>
          <w:lang w:eastAsia="zh-CN"/>
        </w:rPr>
        <w:t>尽量化解在初始和萌芽状态，从源头上减少和预防不稳定问题的发生，确保全县社会和谐稳定。</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项目管理</w:t>
      </w:r>
    </w:p>
    <w:p>
      <w:pPr>
        <w:pStyle w:val="9"/>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_GB2312" w:hAnsi="仿宋_GB2312" w:eastAsia="仿宋_GB2312" w:cs="仿宋_GB2312"/>
          <w:b/>
          <w:bCs/>
          <w:sz w:val="32"/>
          <w:szCs w:val="32"/>
          <w:lang w:val="en-US" w:eastAsia="zh-CN"/>
        </w:rPr>
        <w:t>（1）项目实施到位。</w:t>
      </w:r>
      <w:r>
        <w:rPr>
          <w:rFonts w:hint="eastAsia" w:ascii="仿宋_GB2312" w:hAnsi="仿宋" w:eastAsia="仿宋_GB2312" w:cs="仿宋_GB2312"/>
          <w:kern w:val="0"/>
          <w:sz w:val="32"/>
          <w:szCs w:val="32"/>
          <w:lang w:val="en-US" w:eastAsia="zh-CN" w:bidi="ar"/>
        </w:rPr>
        <w:t>平安创建、综治、维稳、防邪及国安工作经费</w:t>
      </w:r>
      <w:r>
        <w:rPr>
          <w:rFonts w:ascii="仿宋" w:hAnsi="仿宋" w:eastAsia="仿宋" w:cs="仿宋"/>
          <w:sz w:val="32"/>
          <w:szCs w:val="32"/>
        </w:rPr>
        <w:t>项目严格执行《</w:t>
      </w:r>
      <w:r>
        <w:rPr>
          <w:rFonts w:hint="eastAsia" w:ascii="仿宋" w:hAnsi="仿宋" w:eastAsia="仿宋" w:cs="仿宋"/>
          <w:sz w:val="32"/>
          <w:szCs w:val="32"/>
          <w:lang w:eastAsia="zh-CN"/>
        </w:rPr>
        <w:t>中共</w:t>
      </w:r>
      <w:r>
        <w:rPr>
          <w:rFonts w:ascii="仿宋" w:hAnsi="仿宋" w:eastAsia="仿宋" w:cs="仿宋"/>
          <w:sz w:val="32"/>
          <w:szCs w:val="32"/>
        </w:rPr>
        <w:t>南江县</w:t>
      </w:r>
      <w:r>
        <w:rPr>
          <w:rFonts w:hint="eastAsia" w:ascii="仿宋" w:hAnsi="仿宋" w:eastAsia="仿宋" w:cs="仿宋"/>
          <w:sz w:val="32"/>
          <w:szCs w:val="32"/>
          <w:lang w:eastAsia="zh-CN"/>
        </w:rPr>
        <w:t>委政法委员会内部</w:t>
      </w:r>
      <w:r>
        <w:rPr>
          <w:rFonts w:ascii="仿宋" w:hAnsi="仿宋" w:eastAsia="仿宋" w:cs="仿宋"/>
          <w:sz w:val="32"/>
          <w:szCs w:val="32"/>
        </w:rPr>
        <w:t>机关管理制度》及相关财经纪律。</w:t>
      </w:r>
    </w:p>
    <w:p>
      <w:pPr>
        <w:pStyle w:val="9"/>
        <w:keepNext w:val="0"/>
        <w:keepLines w:val="0"/>
        <w:widowControl/>
        <w:suppressLineNumbers w:val="0"/>
        <w:spacing w:before="0" w:beforeAutospacing="0" w:after="0" w:afterAutospacing="0" w:line="580" w:lineRule="atLeast"/>
        <w:ind w:left="0" w:right="0" w:firstLine="640"/>
        <w:jc w:val="both"/>
        <w:rPr>
          <w:rFonts w:hint="default" w:ascii="仿宋" w:hAnsi="仿宋" w:eastAsia="仿宋" w:cs="仿宋"/>
          <w:sz w:val="32"/>
          <w:szCs w:val="32"/>
        </w:rPr>
      </w:pP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制度执行有力。</w:t>
      </w:r>
      <w:r>
        <w:rPr>
          <w:rFonts w:hint="default" w:ascii="仿宋" w:hAnsi="仿宋" w:eastAsia="仿宋" w:cs="仿宋"/>
          <w:sz w:val="32"/>
          <w:szCs w:val="32"/>
        </w:rPr>
        <w:t>资金拨付坚持按项目计划</w:t>
      </w:r>
      <w:r>
        <w:rPr>
          <w:rFonts w:hint="eastAsia" w:ascii="仿宋" w:hAnsi="仿宋" w:eastAsia="仿宋" w:cs="仿宋"/>
          <w:sz w:val="32"/>
          <w:szCs w:val="32"/>
          <w:lang w:eastAsia="zh-CN"/>
        </w:rPr>
        <w:t>、</w:t>
      </w:r>
      <w:r>
        <w:rPr>
          <w:rFonts w:hint="default" w:ascii="仿宋" w:hAnsi="仿宋" w:eastAsia="仿宋" w:cs="仿宋"/>
          <w:sz w:val="32"/>
          <w:szCs w:val="32"/>
        </w:rPr>
        <w:t>进度拨款，坚持部门联审制，先做事，后报账，从而保证了专项资金专款专用，有效防止了截留，挤占和挪用。</w:t>
      </w:r>
    </w:p>
    <w:p>
      <w:pPr>
        <w:pStyle w:val="9"/>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财务资料完整。在</w:t>
      </w:r>
      <w:r>
        <w:rPr>
          <w:rFonts w:hint="default" w:ascii="仿宋" w:hAnsi="仿宋" w:eastAsia="仿宋" w:cs="仿宋"/>
          <w:sz w:val="32"/>
          <w:szCs w:val="32"/>
        </w:rPr>
        <w:t>专项资金的使用方面，根据项目预算分别设立明细科目，做到专</w:t>
      </w:r>
      <w:r>
        <w:rPr>
          <w:rFonts w:hint="eastAsia" w:ascii="仿宋" w:hAnsi="仿宋" w:eastAsia="仿宋" w:cs="仿宋"/>
          <w:sz w:val="32"/>
          <w:szCs w:val="32"/>
          <w:lang w:eastAsia="zh-CN"/>
        </w:rPr>
        <w:t>账</w:t>
      </w:r>
      <w:r>
        <w:rPr>
          <w:rFonts w:hint="default" w:ascii="仿宋" w:hAnsi="仿宋" w:eastAsia="仿宋" w:cs="仿宋"/>
          <w:sz w:val="32"/>
          <w:szCs w:val="32"/>
        </w:rPr>
        <w:t>核算、专款专用。日常工作中，对资金的支出严格把关，对不符合审批程序的事项及时纠正，对不符合规定的票据拒绝报销，严格执行</w:t>
      </w:r>
      <w:r>
        <w:rPr>
          <w:rFonts w:hint="eastAsia" w:ascii="仿宋" w:hAnsi="仿宋" w:eastAsia="仿宋" w:cs="仿宋"/>
          <w:sz w:val="32"/>
          <w:szCs w:val="32"/>
          <w:lang w:eastAsia="zh-CN"/>
        </w:rPr>
        <w:t>资金审批</w:t>
      </w:r>
      <w:r>
        <w:rPr>
          <w:rFonts w:hint="default" w:ascii="仿宋" w:hAnsi="仿宋" w:eastAsia="仿宋" w:cs="仿宋"/>
          <w:sz w:val="32"/>
          <w:szCs w:val="32"/>
        </w:rPr>
        <w:t>程序。</w:t>
      </w:r>
    </w:p>
    <w:p>
      <w:pPr>
        <w:pageBreakBefore w:val="0"/>
        <w:kinsoku/>
        <w:wordWrap/>
        <w:overflowPunct/>
        <w:topLinePunct w:val="0"/>
        <w:bidi w:val="0"/>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项目绩效</w:t>
      </w:r>
    </w:p>
    <w:p>
      <w:pPr>
        <w:keepNext w:val="0"/>
        <w:keepLines w:val="0"/>
        <w:widowControl/>
        <w:suppressLineNumbers w:val="0"/>
        <w:spacing w:before="0" w:beforeAutospacing="0" w:after="0" w:afterAutospacing="0" w:line="600" w:lineRule="exact"/>
        <w:ind w:left="0" w:right="0" w:firstLine="640" w:firstLineChars="200"/>
        <w:jc w:val="left"/>
        <w:rPr>
          <w:rFonts w:ascii="仿宋" w:hAnsi="仿宋" w:eastAsia="仿宋" w:cs="仿宋"/>
          <w:sz w:val="32"/>
          <w:szCs w:val="32"/>
        </w:rPr>
      </w:pPr>
      <w:r>
        <w:rPr>
          <w:rFonts w:ascii="仿宋" w:hAnsi="仿宋" w:eastAsia="仿宋" w:cs="仿宋"/>
          <w:sz w:val="32"/>
          <w:szCs w:val="32"/>
        </w:rPr>
        <w:t>截</w:t>
      </w:r>
      <w:r>
        <w:rPr>
          <w:rFonts w:hint="eastAsia" w:ascii="仿宋" w:hAnsi="仿宋" w:eastAsia="仿宋" w:cs="仿宋"/>
          <w:sz w:val="32"/>
          <w:szCs w:val="32"/>
          <w:lang w:eastAsia="zh-CN"/>
        </w:rPr>
        <w:t>至</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ascii="仿宋" w:hAnsi="仿宋" w:eastAsia="仿宋" w:cs="仿宋"/>
          <w:sz w:val="32"/>
          <w:szCs w:val="32"/>
        </w:rPr>
        <w:t>年12月31日，该项目任务已按时、按质、按量全部完成</w:t>
      </w:r>
      <w:r>
        <w:rPr>
          <w:rFonts w:hint="eastAsia" w:ascii="仿宋" w:hAnsi="仿宋" w:eastAsia="仿宋" w:cs="仿宋"/>
          <w:sz w:val="32"/>
          <w:szCs w:val="32"/>
          <w:lang w:eastAsia="zh-CN"/>
        </w:rPr>
        <w:t>。</w:t>
      </w:r>
      <w:r>
        <w:rPr>
          <w:rFonts w:ascii="仿宋" w:hAnsi="仿宋" w:eastAsia="仿宋" w:cs="仿宋"/>
          <w:sz w:val="32"/>
          <w:szCs w:val="32"/>
        </w:rPr>
        <w:t>项目执行</w:t>
      </w:r>
      <w:r>
        <w:rPr>
          <w:rFonts w:hint="eastAsia" w:ascii="仿宋" w:hAnsi="仿宋" w:eastAsia="仿宋" w:cs="仿宋"/>
          <w:sz w:val="32"/>
          <w:szCs w:val="32"/>
          <w:lang w:eastAsia="zh-CN"/>
        </w:rPr>
        <w:t>按相</w:t>
      </w:r>
      <w:r>
        <w:rPr>
          <w:rFonts w:ascii="仿宋" w:hAnsi="仿宋" w:eastAsia="仿宋" w:cs="仿宋"/>
          <w:sz w:val="32"/>
          <w:szCs w:val="32"/>
        </w:rPr>
        <w:t>关文件规定，严格控制预算，同时在项目执行中采取</w:t>
      </w:r>
      <w:r>
        <w:rPr>
          <w:rFonts w:hint="eastAsia" w:ascii="仿宋" w:hAnsi="仿宋" w:eastAsia="仿宋" w:cs="仿宋"/>
          <w:sz w:val="32"/>
          <w:szCs w:val="32"/>
          <w:lang w:eastAsia="zh-CN"/>
        </w:rPr>
        <w:t>厉行节约</w:t>
      </w:r>
      <w:r>
        <w:rPr>
          <w:rFonts w:ascii="仿宋" w:hAnsi="仿宋" w:eastAsia="仿宋" w:cs="仿宋"/>
          <w:sz w:val="32"/>
          <w:szCs w:val="32"/>
        </w:rPr>
        <w:t>措施，未有超预算情况发生。</w:t>
      </w:r>
    </w:p>
    <w:p>
      <w:pPr>
        <w:pageBreakBefore w:val="0"/>
        <w:kinsoku/>
        <w:wordWrap/>
        <w:overflowPunct/>
        <w:topLinePunct w:val="0"/>
        <w:bidi w:val="0"/>
        <w:spacing w:line="520" w:lineRule="exact"/>
        <w:ind w:firstLine="643" w:firstLine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4.评价结论</w:t>
      </w:r>
    </w:p>
    <w:p>
      <w:pPr>
        <w:pStyle w:val="9"/>
        <w:keepNext w:val="0"/>
        <w:keepLines w:val="0"/>
        <w:widowControl/>
        <w:suppressLineNumbers w:val="0"/>
        <w:spacing w:before="0" w:beforeAutospacing="0" w:after="0" w:afterAutospacing="0" w:line="580" w:lineRule="atLeast"/>
        <w:ind w:left="0" w:right="0" w:firstLine="640"/>
        <w:jc w:val="both"/>
        <w:rPr>
          <w:rFonts w:hint="eastAsia" w:ascii="仿宋" w:hAnsi="仿宋" w:eastAsia="仿宋" w:cs="仿宋"/>
          <w:sz w:val="32"/>
          <w:szCs w:val="32"/>
          <w:lang w:val="en-US" w:eastAsia="zh-CN"/>
        </w:rPr>
      </w:pPr>
      <w:r>
        <w:rPr>
          <w:rFonts w:ascii="仿宋" w:hAnsi="仿宋" w:eastAsia="仿宋" w:cs="仿宋"/>
          <w:sz w:val="32"/>
          <w:szCs w:val="32"/>
        </w:rPr>
        <w:t>综合以上各项指标，我</w:t>
      </w:r>
      <w:r>
        <w:rPr>
          <w:rFonts w:hint="eastAsia" w:ascii="仿宋" w:hAnsi="仿宋" w:eastAsia="仿宋" w:cs="仿宋"/>
          <w:sz w:val="32"/>
          <w:szCs w:val="32"/>
          <w:lang w:eastAsia="zh-CN"/>
        </w:rPr>
        <w:t>单位</w:t>
      </w:r>
      <w:r>
        <w:rPr>
          <w:rFonts w:ascii="仿宋" w:hAnsi="仿宋" w:eastAsia="仿宋" w:cs="仿宋"/>
          <w:sz w:val="32"/>
          <w:szCs w:val="32"/>
        </w:rPr>
        <w:t>财务管理健全规范，没有发生违法违规现象</w:t>
      </w:r>
      <w:r>
        <w:rPr>
          <w:rFonts w:hint="eastAsia" w:ascii="仿宋" w:hAnsi="仿宋" w:eastAsia="仿宋" w:cs="仿宋"/>
          <w:sz w:val="32"/>
          <w:szCs w:val="32"/>
          <w:lang w:eastAsia="zh-CN"/>
        </w:rPr>
        <w:t>。</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default" w:ascii="仿宋" w:hAnsi="仿宋" w:eastAsia="仿宋" w:cs="仿宋"/>
          <w:sz w:val="32"/>
          <w:szCs w:val="32"/>
        </w:rPr>
        <w:t>年的部门项目支出绩效自我评价结果</w:t>
      </w:r>
      <w:r>
        <w:rPr>
          <w:rFonts w:hint="eastAsia" w:ascii="仿宋" w:hAnsi="仿宋" w:eastAsia="仿宋" w:cs="仿宋"/>
          <w:sz w:val="32"/>
          <w:szCs w:val="32"/>
          <w:lang w:eastAsia="zh-CN"/>
        </w:rPr>
        <w:t>为</w:t>
      </w:r>
      <w:r>
        <w:rPr>
          <w:rFonts w:hint="default" w:ascii="仿宋" w:hAnsi="仿宋" w:eastAsia="仿宋" w:cs="仿宋"/>
          <w:sz w:val="32"/>
          <w:szCs w:val="32"/>
        </w:rPr>
        <w:t>优。我们将在以后的工作中加强预算管理，严格控制各项经费开支，提高经费的使用效率。</w:t>
      </w:r>
    </w:p>
    <w:p>
      <w:pPr>
        <w:pageBreakBefore w:val="0"/>
        <w:numPr>
          <w:ilvl w:val="0"/>
          <w:numId w:val="1"/>
        </w:numPr>
        <w:kinsoku/>
        <w:wordWrap/>
        <w:overflowPunct/>
        <w:topLinePunct w:val="0"/>
        <w:bidi w:val="0"/>
        <w:spacing w:line="520" w:lineRule="exact"/>
        <w:ind w:left="1360" w:leftChars="0" w:hanging="720" w:firstLineChars="0"/>
        <w:rPr>
          <w:rFonts w:hint="eastAsia" w:ascii="黑体" w:hAnsi="黑体" w:eastAsia="黑体" w:cs="黑体"/>
          <w:sz w:val="32"/>
          <w:szCs w:val="32"/>
        </w:rPr>
      </w:pPr>
      <w:r>
        <w:rPr>
          <w:rFonts w:hint="eastAsia" w:ascii="黑体" w:hAnsi="黑体" w:eastAsia="黑体" w:cs="黑体"/>
          <w:sz w:val="32"/>
          <w:szCs w:val="32"/>
        </w:rPr>
        <w:t>存在主要问题</w:t>
      </w:r>
    </w:p>
    <w:p>
      <w:pPr>
        <w:pStyle w:val="9"/>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rPr>
        <w:t>由于人力、财力等不足，日常工作开展困难，绩效编制有待改进。在项目实施过程中，由于</w:t>
      </w:r>
      <w:r>
        <w:rPr>
          <w:rFonts w:hint="eastAsia" w:ascii="仿宋" w:hAnsi="仿宋" w:eastAsia="仿宋" w:cs="仿宋"/>
          <w:sz w:val="32"/>
          <w:szCs w:val="32"/>
          <w:lang w:eastAsia="zh-CN"/>
        </w:rPr>
        <w:t>维稳、综治、防邪等</w:t>
      </w:r>
      <w:r>
        <w:rPr>
          <w:rFonts w:ascii="仿宋" w:hAnsi="仿宋" w:eastAsia="仿宋" w:cs="仿宋"/>
          <w:sz w:val="32"/>
          <w:szCs w:val="32"/>
        </w:rPr>
        <w:t>工作</w:t>
      </w:r>
      <w:r>
        <w:rPr>
          <w:rFonts w:hint="eastAsia" w:ascii="仿宋" w:hAnsi="仿宋" w:eastAsia="仿宋" w:cs="仿宋"/>
          <w:sz w:val="32"/>
          <w:szCs w:val="32"/>
          <w:lang w:eastAsia="zh-CN"/>
        </w:rPr>
        <w:t>的特殊</w:t>
      </w:r>
      <w:r>
        <w:rPr>
          <w:rFonts w:ascii="仿宋" w:hAnsi="仿宋" w:eastAsia="仿宋" w:cs="仿宋"/>
          <w:sz w:val="32"/>
          <w:szCs w:val="32"/>
        </w:rPr>
        <w:t>性，项目部分具体事项的计划编制不够精确，在项目执行过程中</w:t>
      </w:r>
      <w:r>
        <w:rPr>
          <w:rFonts w:hint="eastAsia" w:ascii="仿宋" w:hAnsi="仿宋" w:eastAsia="仿宋" w:cs="仿宋"/>
          <w:sz w:val="32"/>
          <w:szCs w:val="32"/>
          <w:lang w:eastAsia="zh-CN"/>
        </w:rPr>
        <w:t>有待提升</w:t>
      </w:r>
      <w:r>
        <w:rPr>
          <w:rFonts w:ascii="仿宋" w:hAnsi="仿宋" w:eastAsia="仿宋" w:cs="仿宋"/>
          <w:sz w:val="32"/>
          <w:szCs w:val="32"/>
        </w:rPr>
        <w:t>。</w:t>
      </w:r>
    </w:p>
    <w:p>
      <w:pPr>
        <w:pageBreakBefore w:val="0"/>
        <w:numPr>
          <w:ilvl w:val="0"/>
          <w:numId w:val="1"/>
        </w:numPr>
        <w:kinsoku/>
        <w:wordWrap/>
        <w:overflowPunct/>
        <w:topLinePunct w:val="0"/>
        <w:bidi w:val="0"/>
        <w:spacing w:line="520" w:lineRule="exact"/>
        <w:ind w:left="1360" w:leftChars="0" w:hanging="720" w:firstLineChars="0"/>
        <w:rPr>
          <w:rFonts w:hint="eastAsia" w:ascii="黑体" w:hAnsi="黑体" w:eastAsia="黑体" w:cs="黑体"/>
          <w:sz w:val="32"/>
          <w:szCs w:val="32"/>
        </w:rPr>
      </w:pPr>
      <w:r>
        <w:rPr>
          <w:rFonts w:hint="eastAsia" w:ascii="黑体" w:hAnsi="黑体" w:eastAsia="黑体" w:cs="黑体"/>
          <w:sz w:val="32"/>
          <w:szCs w:val="32"/>
        </w:rPr>
        <w:t>相关措施建议</w:t>
      </w:r>
    </w:p>
    <w:p>
      <w:pPr>
        <w:pStyle w:val="9"/>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楷体_GB2312" w:hAnsi="楷体_GB2312" w:eastAsia="楷体_GB2312" w:cs="楷体_GB2312"/>
          <w:b/>
          <w:bCs/>
          <w:sz w:val="32"/>
          <w:szCs w:val="32"/>
        </w:rPr>
        <w:t>1.细化预算编制工作。</w:t>
      </w:r>
      <w:r>
        <w:rPr>
          <w:rFonts w:hint="default" w:ascii="仿宋" w:hAnsi="仿宋" w:eastAsia="仿宋" w:cs="仿宋"/>
          <w:sz w:val="32"/>
          <w:szCs w:val="32"/>
        </w:rPr>
        <w:t>严格按照预算编制的相关制度和要求进行预算编制</w:t>
      </w:r>
      <w:r>
        <w:rPr>
          <w:rFonts w:hint="eastAsia" w:ascii="仿宋" w:hAnsi="仿宋" w:eastAsia="仿宋" w:cs="仿宋"/>
          <w:sz w:val="32"/>
          <w:szCs w:val="32"/>
          <w:lang w:eastAsia="zh-CN"/>
        </w:rPr>
        <w:t>，</w:t>
      </w:r>
      <w:r>
        <w:rPr>
          <w:rFonts w:hint="default" w:ascii="仿宋" w:hAnsi="仿宋" w:eastAsia="仿宋" w:cs="仿宋"/>
          <w:sz w:val="32"/>
          <w:szCs w:val="32"/>
        </w:rPr>
        <w:t>优先保障固定性的、相对刚性的费用支出项目，尽量压缩变动性的、有控制空间的费用项目，进一步提高预算编制的科学性、合理性和准确性。</w:t>
      </w:r>
    </w:p>
    <w:p>
      <w:pPr>
        <w:pStyle w:val="9"/>
        <w:keepNext w:val="0"/>
        <w:keepLines w:val="0"/>
        <w:widowControl/>
        <w:suppressLineNumbers w:val="0"/>
        <w:spacing w:before="0" w:beforeAutospacing="0" w:after="0" w:afterAutospacing="0" w:line="580" w:lineRule="atLeast"/>
        <w:ind w:left="0" w:right="0" w:firstLine="640"/>
        <w:jc w:val="both"/>
        <w:rPr>
          <w:rFonts w:ascii="仿宋" w:hAnsi="仿宋" w:eastAsia="仿宋" w:cs="仿宋_GB2312"/>
          <w:sz w:val="32"/>
          <w:szCs w:val="32"/>
        </w:rPr>
      </w:pPr>
      <w:r>
        <w:rPr>
          <w:rFonts w:hint="default" w:ascii="楷体_GB2312" w:hAnsi="楷体_GB2312" w:eastAsia="楷体_GB2312" w:cs="楷体_GB2312"/>
          <w:b/>
          <w:bCs/>
          <w:sz w:val="32"/>
          <w:szCs w:val="32"/>
        </w:rPr>
        <w:t>2.持续深入加强项目资金监管。</w:t>
      </w:r>
      <w:r>
        <w:rPr>
          <w:rFonts w:hint="default" w:ascii="仿宋" w:hAnsi="仿宋" w:eastAsia="仿宋" w:cs="仿宋"/>
          <w:sz w:val="32"/>
          <w:szCs w:val="32"/>
        </w:rPr>
        <w:t>通过建立专项资金管理制度，从资金申请、</w:t>
      </w:r>
      <w:r>
        <w:rPr>
          <w:rFonts w:hint="eastAsia" w:ascii="仿宋" w:hAnsi="仿宋" w:eastAsia="仿宋" w:cs="仿宋"/>
          <w:sz w:val="32"/>
          <w:szCs w:val="32"/>
          <w:lang w:eastAsia="zh-CN"/>
        </w:rPr>
        <w:t>拨付</w:t>
      </w:r>
      <w:r>
        <w:rPr>
          <w:rFonts w:hint="default" w:ascii="仿宋" w:hAnsi="仿宋" w:eastAsia="仿宋" w:cs="仿宋"/>
          <w:sz w:val="32"/>
          <w:szCs w:val="32"/>
        </w:rPr>
        <w:t>、使用、报销结算全过程进行制度规范，并完善相应的操作流程。</w:t>
      </w:r>
    </w:p>
    <w:p>
      <w:pPr>
        <w:pageBreakBefore w:val="0"/>
        <w:kinsoku/>
        <w:wordWrap/>
        <w:overflowPunct/>
        <w:topLinePunct w:val="0"/>
        <w:bidi w:val="0"/>
        <w:spacing w:line="520" w:lineRule="exact"/>
        <w:ind w:firstLine="640" w:firstLineChars="200"/>
        <w:rPr>
          <w:rFonts w:ascii="仿宋" w:hAnsi="仿宋" w:eastAsia="仿宋" w:cs="仿宋_GB2312"/>
          <w:sz w:val="32"/>
          <w:szCs w:val="32"/>
        </w:rPr>
      </w:pPr>
    </w:p>
    <w:p>
      <w:pPr>
        <w:pageBreakBefore w:val="0"/>
        <w:kinsoku/>
        <w:wordWrap/>
        <w:overflowPunct/>
        <w:topLinePunct w:val="0"/>
        <w:bidi w:val="0"/>
        <w:spacing w:line="520" w:lineRule="exact"/>
        <w:jc w:val="center"/>
        <w:outlineLvl w:val="0"/>
        <w:rPr>
          <w:rStyle w:val="14"/>
          <w:rFonts w:ascii="黑体" w:hAnsi="黑体" w:eastAsia="黑体"/>
          <w:b w:val="0"/>
        </w:rPr>
      </w:pPr>
      <w:bookmarkStart w:id="59" w:name="_Toc15396618"/>
      <w:r>
        <w:rPr>
          <w:rFonts w:hint="eastAsia" w:ascii="黑体" w:hAnsi="黑体" w:eastAsia="黑体"/>
          <w:color w:val="000000"/>
          <w:sz w:val="44"/>
          <w:szCs w:val="44"/>
        </w:rPr>
        <w:t>第</w:t>
      </w:r>
      <w:r>
        <w:rPr>
          <w:rStyle w:val="14"/>
          <w:rFonts w:hint="eastAsia" w:ascii="黑体" w:hAnsi="黑体" w:eastAsia="黑体"/>
          <w:b w:val="0"/>
        </w:rPr>
        <w:t>五部分 附表</w:t>
      </w:r>
      <w:bookmarkEnd w:id="54"/>
      <w:bookmarkEnd w:id="59"/>
    </w:p>
    <w:p>
      <w:pPr>
        <w:pageBreakBefore w:val="0"/>
        <w:kinsoku/>
        <w:wordWrap/>
        <w:overflowPunct/>
        <w:topLinePunct w:val="0"/>
        <w:bidi w:val="0"/>
        <w:spacing w:line="520" w:lineRule="exact"/>
        <w:jc w:val="center"/>
        <w:outlineLvl w:val="0"/>
        <w:rPr>
          <w:rFonts w:ascii="仿宋" w:hAnsi="仿宋" w:eastAsia="仿宋"/>
          <w:b/>
          <w:color w:val="000000"/>
          <w:sz w:val="44"/>
          <w:szCs w:val="44"/>
        </w:rPr>
      </w:pPr>
    </w:p>
    <w:p>
      <w:pPr>
        <w:pStyle w:val="3"/>
        <w:pageBreakBefore w:val="0"/>
        <w:numPr>
          <w:ilvl w:val="0"/>
          <w:numId w:val="7"/>
        </w:numPr>
        <w:kinsoku/>
        <w:wordWrap/>
        <w:overflowPunct/>
        <w:topLinePunct w:val="0"/>
        <w:bidi w:val="0"/>
        <w:spacing w:line="520" w:lineRule="exact"/>
        <w:rPr>
          <w:rFonts w:hint="eastAsia" w:ascii="仿宋" w:hAnsi="仿宋" w:eastAsia="仿宋"/>
          <w:b w:val="0"/>
          <w:color w:val="000000"/>
        </w:rPr>
      </w:pPr>
      <w:bookmarkStart w:id="60" w:name="_Toc15396620"/>
      <w:r>
        <w:rPr>
          <w:rFonts w:hint="eastAsia" w:ascii="仿宋" w:hAnsi="仿宋" w:eastAsia="仿宋"/>
          <w:b w:val="0"/>
          <w:color w:val="000000"/>
        </w:rPr>
        <w:t>收入支出决算总表</w:t>
      </w:r>
    </w:p>
    <w:p>
      <w:pPr>
        <w:pStyle w:val="3"/>
        <w:pageBreakBefore w:val="0"/>
        <w:numPr>
          <w:ilvl w:val="0"/>
          <w:numId w:val="0"/>
        </w:numPr>
        <w:kinsoku/>
        <w:wordWrap/>
        <w:overflowPunct/>
        <w:topLinePunct w:val="0"/>
        <w:bidi w:val="0"/>
        <w:spacing w:line="520" w:lineRule="exact"/>
        <w:rPr>
          <w:rFonts w:ascii="仿宋" w:hAnsi="仿宋" w:eastAsia="仿宋"/>
          <w:color w:val="000000"/>
        </w:rPr>
      </w:pPr>
      <w:r>
        <w:rPr>
          <w:rFonts w:hint="eastAsia" w:ascii="仿宋" w:hAnsi="仿宋" w:eastAsia="仿宋"/>
          <w:b w:val="0"/>
          <w:color w:val="000000"/>
        </w:rPr>
        <w:t>二、收</w:t>
      </w:r>
      <w:r>
        <w:rPr>
          <w:rStyle w:val="15"/>
          <w:rFonts w:hint="eastAsia" w:ascii="仿宋" w:hAnsi="仿宋" w:eastAsia="仿宋"/>
          <w:b w:val="0"/>
          <w:bCs w:val="0"/>
        </w:rPr>
        <w:t>入</w:t>
      </w:r>
      <w:r>
        <w:rPr>
          <w:rStyle w:val="15"/>
          <w:rFonts w:hint="eastAsia" w:ascii="仿宋" w:hAnsi="仿宋" w:eastAsia="仿宋"/>
          <w:b w:val="0"/>
          <w:bCs w:val="0"/>
          <w:lang w:eastAsia="zh-CN"/>
        </w:rPr>
        <w:t>决算</w:t>
      </w:r>
      <w:r>
        <w:rPr>
          <w:rStyle w:val="15"/>
          <w:rFonts w:hint="eastAsia" w:ascii="仿宋" w:hAnsi="仿宋" w:eastAsia="仿宋"/>
          <w:b w:val="0"/>
          <w:bCs w:val="0"/>
        </w:rPr>
        <w:t>总表</w:t>
      </w:r>
      <w:bookmarkEnd w:id="60"/>
    </w:p>
    <w:p>
      <w:pPr>
        <w:pStyle w:val="3"/>
        <w:pageBreakBefore w:val="0"/>
        <w:kinsoku/>
        <w:wordWrap/>
        <w:overflowPunct/>
        <w:topLinePunct w:val="0"/>
        <w:bidi w:val="0"/>
        <w:spacing w:line="520" w:lineRule="exact"/>
        <w:rPr>
          <w:rFonts w:ascii="仿宋" w:hAnsi="仿宋" w:eastAsia="仿宋"/>
          <w:color w:val="000000"/>
        </w:rPr>
      </w:pPr>
      <w:bookmarkStart w:id="61" w:name="_Toc15396621"/>
      <w:r>
        <w:rPr>
          <w:rStyle w:val="15"/>
          <w:rFonts w:hint="eastAsia" w:ascii="仿宋" w:hAnsi="仿宋" w:eastAsia="仿宋"/>
          <w:b w:val="0"/>
          <w:bCs w:val="0"/>
        </w:rPr>
        <w:t>三、</w:t>
      </w:r>
      <w:r>
        <w:rPr>
          <w:rFonts w:hint="eastAsia" w:ascii="仿宋" w:hAnsi="仿宋" w:eastAsia="仿宋"/>
          <w:b w:val="0"/>
          <w:color w:val="000000"/>
        </w:rPr>
        <w:t>支</w:t>
      </w:r>
      <w:r>
        <w:rPr>
          <w:rStyle w:val="15"/>
          <w:rFonts w:hint="eastAsia" w:ascii="仿宋" w:hAnsi="仿宋" w:eastAsia="仿宋"/>
          <w:b w:val="0"/>
          <w:bCs w:val="0"/>
        </w:rPr>
        <w:t>出</w:t>
      </w:r>
      <w:r>
        <w:rPr>
          <w:rStyle w:val="15"/>
          <w:rFonts w:hint="eastAsia" w:ascii="仿宋" w:hAnsi="仿宋" w:eastAsia="仿宋"/>
          <w:b w:val="0"/>
          <w:bCs w:val="0"/>
          <w:lang w:eastAsia="zh-CN"/>
        </w:rPr>
        <w:t>决算</w:t>
      </w:r>
      <w:r>
        <w:rPr>
          <w:rStyle w:val="15"/>
          <w:rFonts w:hint="eastAsia" w:ascii="仿宋" w:hAnsi="仿宋" w:eastAsia="仿宋"/>
          <w:b w:val="0"/>
          <w:bCs w:val="0"/>
        </w:rPr>
        <w:t>总表</w:t>
      </w:r>
      <w:bookmarkEnd w:id="61"/>
    </w:p>
    <w:p>
      <w:pPr>
        <w:pStyle w:val="3"/>
        <w:pageBreakBefore w:val="0"/>
        <w:kinsoku/>
        <w:wordWrap/>
        <w:overflowPunct/>
        <w:topLinePunct w:val="0"/>
        <w:bidi w:val="0"/>
        <w:spacing w:line="520" w:lineRule="exact"/>
        <w:rPr>
          <w:rStyle w:val="15"/>
          <w:rFonts w:hint="eastAsia" w:ascii="仿宋" w:hAnsi="仿宋" w:eastAsia="仿宋"/>
          <w:b w:val="0"/>
          <w:bCs w:val="0"/>
        </w:rPr>
      </w:pPr>
      <w:bookmarkStart w:id="62" w:name="_Toc15396622"/>
      <w:r>
        <w:rPr>
          <w:rStyle w:val="15"/>
          <w:rFonts w:hint="eastAsia" w:ascii="仿宋" w:hAnsi="仿宋" w:eastAsia="仿宋"/>
          <w:b w:val="0"/>
          <w:bCs w:val="0"/>
        </w:rPr>
        <w:t>四、</w:t>
      </w:r>
      <w:r>
        <w:rPr>
          <w:rFonts w:hint="eastAsia" w:ascii="仿宋" w:hAnsi="仿宋" w:eastAsia="仿宋"/>
          <w:b w:val="0"/>
          <w:color w:val="000000"/>
        </w:rPr>
        <w:t>财</w:t>
      </w:r>
      <w:r>
        <w:rPr>
          <w:rStyle w:val="15"/>
          <w:rFonts w:hint="eastAsia" w:ascii="仿宋" w:hAnsi="仿宋" w:eastAsia="仿宋"/>
          <w:b w:val="0"/>
          <w:bCs w:val="0"/>
        </w:rPr>
        <w:t>政拨款收入支出决算总表</w:t>
      </w:r>
      <w:bookmarkEnd w:id="62"/>
    </w:p>
    <w:p>
      <w:pPr>
        <w:pStyle w:val="3"/>
        <w:pageBreakBefore w:val="0"/>
        <w:kinsoku/>
        <w:wordWrap/>
        <w:overflowPunct/>
        <w:topLinePunct w:val="0"/>
        <w:bidi w:val="0"/>
        <w:spacing w:line="520" w:lineRule="exact"/>
        <w:rPr>
          <w:rFonts w:ascii="仿宋" w:hAnsi="仿宋" w:eastAsia="仿宋"/>
          <w:b w:val="0"/>
          <w:color w:val="000000"/>
        </w:rPr>
      </w:pPr>
      <w:r>
        <w:rPr>
          <w:rStyle w:val="15"/>
          <w:rFonts w:hint="eastAsia" w:ascii="仿宋" w:hAnsi="仿宋" w:eastAsia="仿宋"/>
          <w:b w:val="0"/>
          <w:bCs w:val="0"/>
          <w:lang w:eastAsia="zh-CN"/>
        </w:rPr>
        <w:t>五</w:t>
      </w:r>
      <w:r>
        <w:rPr>
          <w:rStyle w:val="15"/>
          <w:rFonts w:hint="eastAsia" w:ascii="仿宋" w:hAnsi="仿宋" w:eastAsia="仿宋"/>
          <w:b w:val="0"/>
          <w:bCs w:val="0"/>
        </w:rPr>
        <w:t>、</w:t>
      </w:r>
      <w:r>
        <w:rPr>
          <w:rFonts w:hint="eastAsia" w:ascii="仿宋" w:hAnsi="仿宋" w:eastAsia="仿宋"/>
          <w:b w:val="0"/>
          <w:color w:val="000000"/>
        </w:rPr>
        <w:t>财政拨款支出决算明细表</w:t>
      </w:r>
    </w:p>
    <w:p>
      <w:pPr>
        <w:pStyle w:val="3"/>
        <w:pageBreakBefore w:val="0"/>
        <w:kinsoku/>
        <w:wordWrap/>
        <w:overflowPunct/>
        <w:topLinePunct w:val="0"/>
        <w:bidi w:val="0"/>
        <w:spacing w:line="520" w:lineRule="exact"/>
        <w:rPr>
          <w:rFonts w:ascii="仿宋" w:hAnsi="仿宋" w:eastAsia="仿宋"/>
          <w:color w:val="000000"/>
        </w:rPr>
      </w:pPr>
      <w:bookmarkStart w:id="63" w:name="_Toc15396624"/>
      <w:r>
        <w:rPr>
          <w:rStyle w:val="15"/>
          <w:rFonts w:hint="eastAsia" w:ascii="仿宋" w:hAnsi="仿宋" w:eastAsia="仿宋"/>
          <w:b w:val="0"/>
          <w:bCs w:val="0"/>
          <w:lang w:eastAsia="zh-CN"/>
        </w:rPr>
        <w:t>六</w:t>
      </w:r>
      <w:r>
        <w:rPr>
          <w:rStyle w:val="15"/>
          <w:rFonts w:hint="eastAsia" w:ascii="仿宋" w:hAnsi="仿宋" w:eastAsia="仿宋"/>
          <w:b w:val="0"/>
          <w:bCs w:val="0"/>
        </w:rPr>
        <w:t>、</w:t>
      </w:r>
      <w:bookmarkEnd w:id="63"/>
      <w:r>
        <w:rPr>
          <w:rFonts w:hint="eastAsia" w:ascii="仿宋" w:hAnsi="仿宋" w:eastAsia="仿宋"/>
          <w:b w:val="0"/>
          <w:color w:val="000000"/>
        </w:rPr>
        <w:t>财政拨款支出决算明细表</w:t>
      </w:r>
    </w:p>
    <w:p>
      <w:pPr>
        <w:pStyle w:val="3"/>
        <w:pageBreakBefore w:val="0"/>
        <w:kinsoku/>
        <w:wordWrap/>
        <w:overflowPunct/>
        <w:topLinePunct w:val="0"/>
        <w:bidi w:val="0"/>
        <w:spacing w:line="520" w:lineRule="exact"/>
        <w:rPr>
          <w:rFonts w:hint="eastAsia" w:ascii="仿宋" w:hAnsi="仿宋" w:eastAsia="仿宋"/>
          <w:b w:val="0"/>
          <w:color w:val="000000"/>
        </w:rPr>
      </w:pPr>
      <w:bookmarkStart w:id="64" w:name="_Toc15396626"/>
      <w:r>
        <w:rPr>
          <w:rStyle w:val="15"/>
          <w:rFonts w:hint="eastAsia" w:ascii="仿宋" w:hAnsi="仿宋" w:eastAsia="仿宋"/>
          <w:b w:val="0"/>
          <w:bCs w:val="0"/>
          <w:lang w:eastAsia="zh-CN"/>
        </w:rPr>
        <w:t>七</w:t>
      </w:r>
      <w:r>
        <w:rPr>
          <w:rStyle w:val="15"/>
          <w:rFonts w:hint="eastAsia" w:ascii="仿宋" w:hAnsi="仿宋" w:eastAsia="仿宋"/>
          <w:b w:val="0"/>
          <w:bCs w:val="0"/>
        </w:rPr>
        <w:t>、</w:t>
      </w:r>
      <w:bookmarkEnd w:id="64"/>
      <w:bookmarkStart w:id="65" w:name="_Toc15396628"/>
      <w:r>
        <w:rPr>
          <w:rFonts w:hint="eastAsia" w:ascii="仿宋" w:hAnsi="仿宋" w:eastAsia="仿宋"/>
          <w:b w:val="0"/>
          <w:color w:val="000000"/>
        </w:rPr>
        <w:t>一般公共预算财政拨款支出决算表</w:t>
      </w:r>
    </w:p>
    <w:p>
      <w:pPr>
        <w:pStyle w:val="3"/>
        <w:pageBreakBefore w:val="0"/>
        <w:kinsoku/>
        <w:wordWrap/>
        <w:overflowPunct/>
        <w:topLinePunct w:val="0"/>
        <w:bidi w:val="0"/>
        <w:spacing w:line="520" w:lineRule="exact"/>
        <w:rPr>
          <w:rStyle w:val="15"/>
          <w:rFonts w:hint="eastAsia" w:ascii="仿宋" w:hAnsi="仿宋" w:eastAsia="仿宋"/>
          <w:b w:val="0"/>
          <w:bCs w:val="0"/>
        </w:rPr>
      </w:pPr>
      <w:r>
        <w:rPr>
          <w:rStyle w:val="15"/>
          <w:rFonts w:hint="eastAsia" w:ascii="仿宋" w:hAnsi="仿宋" w:eastAsia="仿宋"/>
          <w:b w:val="0"/>
          <w:bCs w:val="0"/>
          <w:lang w:eastAsia="zh-CN"/>
        </w:rPr>
        <w:t>八</w:t>
      </w:r>
      <w:r>
        <w:rPr>
          <w:rStyle w:val="15"/>
          <w:rFonts w:hint="eastAsia" w:ascii="仿宋" w:hAnsi="仿宋" w:eastAsia="仿宋"/>
          <w:b w:val="0"/>
          <w:bCs w:val="0"/>
        </w:rPr>
        <w:t>、</w:t>
      </w:r>
      <w:r>
        <w:rPr>
          <w:rFonts w:hint="eastAsia" w:ascii="仿宋" w:hAnsi="仿宋" w:eastAsia="仿宋"/>
          <w:b w:val="0"/>
          <w:color w:val="000000"/>
        </w:rPr>
        <w:t>一般公共预算财政拨款基本支出决算表</w:t>
      </w:r>
    </w:p>
    <w:p>
      <w:pPr>
        <w:pStyle w:val="3"/>
        <w:pageBreakBefore w:val="0"/>
        <w:kinsoku/>
        <w:wordWrap/>
        <w:overflowPunct/>
        <w:topLinePunct w:val="0"/>
        <w:bidi w:val="0"/>
        <w:spacing w:line="520" w:lineRule="exact"/>
      </w:pPr>
      <w:r>
        <w:rPr>
          <w:rStyle w:val="15"/>
          <w:rFonts w:hint="eastAsia" w:ascii="仿宋" w:hAnsi="仿宋" w:eastAsia="仿宋"/>
          <w:b w:val="0"/>
          <w:bCs w:val="0"/>
          <w:lang w:eastAsia="zh-CN"/>
        </w:rPr>
        <w:t>九</w:t>
      </w:r>
      <w:r>
        <w:rPr>
          <w:rStyle w:val="15"/>
          <w:rFonts w:hint="eastAsia" w:ascii="仿宋" w:hAnsi="仿宋" w:eastAsia="仿宋"/>
          <w:b w:val="0"/>
          <w:bCs w:val="0"/>
        </w:rPr>
        <w:t>、</w:t>
      </w:r>
      <w:r>
        <w:rPr>
          <w:rFonts w:hint="eastAsia" w:ascii="仿宋" w:hAnsi="仿宋" w:eastAsia="仿宋"/>
          <w:b w:val="0"/>
          <w:color w:val="000000"/>
        </w:rPr>
        <w:t>一般公共预算财政拨款项目支出决算表</w:t>
      </w:r>
    </w:p>
    <w:p>
      <w:pPr>
        <w:pStyle w:val="3"/>
        <w:pageBreakBefore w:val="0"/>
        <w:kinsoku/>
        <w:wordWrap/>
        <w:overflowPunct/>
        <w:topLinePunct w:val="0"/>
        <w:bidi w:val="0"/>
        <w:spacing w:line="520" w:lineRule="exact"/>
        <w:rPr>
          <w:rFonts w:ascii="仿宋" w:hAnsi="仿宋" w:eastAsia="仿宋"/>
          <w:color w:val="000000"/>
        </w:rPr>
      </w:pPr>
      <w:r>
        <w:rPr>
          <w:rStyle w:val="15"/>
          <w:rFonts w:hint="eastAsia" w:ascii="仿宋" w:hAnsi="仿宋" w:eastAsia="仿宋"/>
          <w:b w:val="0"/>
          <w:bCs w:val="0"/>
          <w:lang w:eastAsia="zh-CN"/>
        </w:rPr>
        <w:t>十</w:t>
      </w:r>
      <w:r>
        <w:rPr>
          <w:rStyle w:val="15"/>
          <w:rFonts w:hint="eastAsia" w:ascii="仿宋" w:hAnsi="仿宋" w:eastAsia="仿宋"/>
          <w:b w:val="0"/>
          <w:bCs w:val="0"/>
        </w:rPr>
        <w:t>、</w:t>
      </w:r>
      <w:bookmarkEnd w:id="65"/>
      <w:r>
        <w:rPr>
          <w:rFonts w:hint="eastAsia" w:ascii="仿宋" w:hAnsi="仿宋" w:eastAsia="仿宋"/>
          <w:b w:val="0"/>
          <w:color w:val="000000"/>
        </w:rPr>
        <w:t>一般公共预算财政拨款“三公”经费支出决算表</w:t>
      </w:r>
    </w:p>
    <w:p>
      <w:pPr>
        <w:pStyle w:val="3"/>
        <w:pageBreakBefore w:val="0"/>
        <w:kinsoku/>
        <w:wordWrap/>
        <w:overflowPunct/>
        <w:topLinePunct w:val="0"/>
        <w:bidi w:val="0"/>
        <w:spacing w:line="520" w:lineRule="exact"/>
        <w:rPr>
          <w:rStyle w:val="15"/>
          <w:rFonts w:hint="eastAsia" w:ascii="仿宋" w:hAnsi="仿宋" w:eastAsia="仿宋"/>
          <w:b w:val="0"/>
          <w:bCs w:val="0"/>
          <w:color w:val="000000"/>
        </w:rPr>
      </w:pPr>
      <w:bookmarkStart w:id="66" w:name="_Toc15396629"/>
      <w:r>
        <w:rPr>
          <w:rStyle w:val="15"/>
          <w:rFonts w:hint="eastAsia" w:ascii="仿宋" w:hAnsi="仿宋" w:eastAsia="仿宋"/>
          <w:b w:val="0"/>
          <w:bCs w:val="0"/>
          <w:lang w:eastAsia="zh-CN"/>
        </w:rPr>
        <w:t>十一</w:t>
      </w:r>
      <w:r>
        <w:rPr>
          <w:rStyle w:val="15"/>
          <w:rFonts w:hint="eastAsia" w:ascii="仿宋" w:hAnsi="仿宋" w:eastAsia="仿宋"/>
          <w:b w:val="0"/>
          <w:bCs w:val="0"/>
        </w:rPr>
        <w:t>、</w:t>
      </w:r>
      <w:bookmarkEnd w:id="66"/>
      <w:r>
        <w:rPr>
          <w:rFonts w:hint="eastAsia" w:ascii="仿宋" w:hAnsi="仿宋" w:eastAsia="仿宋"/>
          <w:b w:val="0"/>
          <w:color w:val="000000"/>
        </w:rPr>
        <w:t>政府性基金预算财政拨款收入支出决算表</w:t>
      </w:r>
    </w:p>
    <w:p>
      <w:pPr>
        <w:pStyle w:val="3"/>
        <w:pageBreakBefore w:val="0"/>
        <w:kinsoku/>
        <w:wordWrap/>
        <w:overflowPunct/>
        <w:topLinePunct w:val="0"/>
        <w:bidi w:val="0"/>
        <w:spacing w:line="520" w:lineRule="exact"/>
        <w:rPr>
          <w:rStyle w:val="15"/>
          <w:rFonts w:hint="eastAsia" w:ascii="仿宋" w:hAnsi="仿宋" w:eastAsia="仿宋"/>
          <w:b w:val="0"/>
          <w:bCs w:val="0"/>
          <w:lang w:eastAsia="zh-CN"/>
        </w:rPr>
      </w:pPr>
      <w:r>
        <w:rPr>
          <w:rStyle w:val="15"/>
          <w:rFonts w:hint="eastAsia" w:ascii="仿宋" w:hAnsi="仿宋" w:eastAsia="仿宋"/>
          <w:b w:val="0"/>
          <w:bCs w:val="0"/>
          <w:lang w:eastAsia="zh-CN"/>
        </w:rPr>
        <w:t>十二、政府性基金预算财政拨款“三公”经费支出决算表</w:t>
      </w:r>
    </w:p>
    <w:p>
      <w:pPr>
        <w:pStyle w:val="3"/>
        <w:pageBreakBefore w:val="0"/>
        <w:kinsoku/>
        <w:wordWrap/>
        <w:overflowPunct/>
        <w:topLinePunct w:val="0"/>
        <w:bidi w:val="0"/>
        <w:spacing w:line="520" w:lineRule="exact"/>
        <w:rPr>
          <w:rStyle w:val="15"/>
          <w:rFonts w:hint="eastAsia" w:ascii="仿宋" w:hAnsi="仿宋" w:eastAsia="仿宋"/>
          <w:b w:val="0"/>
          <w:bCs w:val="0"/>
          <w:lang w:eastAsia="zh-CN"/>
        </w:rPr>
      </w:pPr>
      <w:r>
        <w:rPr>
          <w:rStyle w:val="15"/>
          <w:rFonts w:hint="eastAsia" w:ascii="仿宋" w:hAnsi="仿宋" w:eastAsia="仿宋"/>
          <w:b w:val="0"/>
          <w:bCs w:val="0"/>
          <w:lang w:eastAsia="zh-CN"/>
        </w:rPr>
        <w:t>十三、国有资本经营预算财政拨款支出决算表</w:t>
      </w:r>
    </w:p>
    <w:p>
      <w:pPr>
        <w:rPr>
          <w:rStyle w:val="15"/>
          <w:rFonts w:hint="eastAsia" w:ascii="仿宋" w:hAnsi="仿宋" w:eastAsia="仿宋"/>
          <w:b w:val="0"/>
          <w:bCs w:val="0"/>
          <w:lang w:eastAsia="zh-CN"/>
        </w:rPr>
      </w:pPr>
      <w:r>
        <w:rPr>
          <w:rStyle w:val="15"/>
          <w:rFonts w:hint="eastAsia" w:ascii="仿宋" w:hAnsi="仿宋" w:eastAsia="仿宋"/>
          <w:b w:val="0"/>
          <w:bCs w:val="0"/>
          <w:lang w:eastAsia="zh-CN"/>
        </w:rPr>
        <w:t>十四、国有资本经营预算财政拨款支出决算表</w:t>
      </w:r>
    </w:p>
    <w:p>
      <w:pPr>
        <w:rPr>
          <w:rStyle w:val="15"/>
          <w:rFonts w:hint="eastAsia" w:ascii="仿宋" w:hAnsi="仿宋" w:eastAsia="仿宋"/>
          <w:b w:val="0"/>
          <w:bCs w:val="0"/>
          <w:lang w:eastAsia="zh-CN"/>
        </w:rPr>
      </w:pPr>
    </w:p>
    <w:p>
      <w:pPr>
        <w:rPr>
          <w:rFonts w:hint="eastAsia" w:ascii="仿宋" w:hAnsi="仿宋" w:eastAsia="仿宋"/>
          <w:color w:val="000000"/>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20491D72"/>
    <w:multiLevelType w:val="singleLevel"/>
    <w:tmpl w:val="20491D72"/>
    <w:lvl w:ilvl="0" w:tentative="0">
      <w:start w:val="2"/>
      <w:numFmt w:val="chineseCounting"/>
      <w:suff w:val="nothing"/>
      <w:lvlText w:val="（%1）"/>
      <w:lvlJc w:val="left"/>
      <w:rPr>
        <w:rFonts w:hint="eastAsia"/>
      </w:rPr>
    </w:lvl>
  </w:abstractNum>
  <w:abstractNum w:abstractNumId="5">
    <w:nsid w:val="3F375E6B"/>
    <w:multiLevelType w:val="singleLevel"/>
    <w:tmpl w:val="3F375E6B"/>
    <w:lvl w:ilvl="0" w:tentative="0">
      <w:start w:val="1"/>
      <w:numFmt w:val="chineseCounting"/>
      <w:suff w:val="nothing"/>
      <w:lvlText w:val="%1、"/>
      <w:lvlJc w:val="left"/>
      <w:rPr>
        <w:rFonts w:hint="eastAsia"/>
      </w:rPr>
    </w:lvl>
  </w:abstractNum>
  <w:abstractNum w:abstractNumId="6">
    <w:nsid w:val="48AD0ADC"/>
    <w:multiLevelType w:val="singleLevel"/>
    <w:tmpl w:val="48AD0ADC"/>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YmRiMzJjMzU5MzdhY2U0MmIyMGFmOTIxYjNlMGUifQ=="/>
  </w:docVars>
  <w:rsids>
    <w:rsidRoot w:val="00000000"/>
    <w:rsid w:val="00CD79DA"/>
    <w:rsid w:val="00D2328E"/>
    <w:rsid w:val="013C79E1"/>
    <w:rsid w:val="018E3404"/>
    <w:rsid w:val="01C012ED"/>
    <w:rsid w:val="027F2630"/>
    <w:rsid w:val="02E80AFB"/>
    <w:rsid w:val="03453F8A"/>
    <w:rsid w:val="03A8028B"/>
    <w:rsid w:val="03D1333D"/>
    <w:rsid w:val="04E43544"/>
    <w:rsid w:val="0503023C"/>
    <w:rsid w:val="051200B1"/>
    <w:rsid w:val="051464A3"/>
    <w:rsid w:val="05787616"/>
    <w:rsid w:val="05C0366A"/>
    <w:rsid w:val="05CF59E6"/>
    <w:rsid w:val="05E31E62"/>
    <w:rsid w:val="05F348D4"/>
    <w:rsid w:val="0677784C"/>
    <w:rsid w:val="089963F4"/>
    <w:rsid w:val="08F5187C"/>
    <w:rsid w:val="09066764"/>
    <w:rsid w:val="09861D3A"/>
    <w:rsid w:val="0A232419"/>
    <w:rsid w:val="0A255196"/>
    <w:rsid w:val="0A2F0DBE"/>
    <w:rsid w:val="0A661120"/>
    <w:rsid w:val="0AE86FC1"/>
    <w:rsid w:val="0B436F70"/>
    <w:rsid w:val="0B4F037C"/>
    <w:rsid w:val="0B6B02F0"/>
    <w:rsid w:val="0CEC0F93"/>
    <w:rsid w:val="0D3F3A0E"/>
    <w:rsid w:val="0E060087"/>
    <w:rsid w:val="0E5252B8"/>
    <w:rsid w:val="0F056623"/>
    <w:rsid w:val="0F447FFA"/>
    <w:rsid w:val="0FDF4F58"/>
    <w:rsid w:val="1014523E"/>
    <w:rsid w:val="10B62239"/>
    <w:rsid w:val="10D91A83"/>
    <w:rsid w:val="111D4066"/>
    <w:rsid w:val="11670B79"/>
    <w:rsid w:val="11E20E0C"/>
    <w:rsid w:val="12744ECE"/>
    <w:rsid w:val="13117BFA"/>
    <w:rsid w:val="131F2490"/>
    <w:rsid w:val="1441502F"/>
    <w:rsid w:val="149F2FE4"/>
    <w:rsid w:val="14A36C0C"/>
    <w:rsid w:val="15791A87"/>
    <w:rsid w:val="159D2F08"/>
    <w:rsid w:val="15A06A69"/>
    <w:rsid w:val="15BA4D06"/>
    <w:rsid w:val="15E92769"/>
    <w:rsid w:val="160E57E7"/>
    <w:rsid w:val="1695644C"/>
    <w:rsid w:val="16BF34C9"/>
    <w:rsid w:val="16C84A74"/>
    <w:rsid w:val="16DF1161"/>
    <w:rsid w:val="175E7186"/>
    <w:rsid w:val="18031A7E"/>
    <w:rsid w:val="1881238F"/>
    <w:rsid w:val="18853C74"/>
    <w:rsid w:val="189C2E34"/>
    <w:rsid w:val="1908711A"/>
    <w:rsid w:val="19185113"/>
    <w:rsid w:val="19292616"/>
    <w:rsid w:val="194A5C14"/>
    <w:rsid w:val="195A572B"/>
    <w:rsid w:val="196244BC"/>
    <w:rsid w:val="19947107"/>
    <w:rsid w:val="19D63004"/>
    <w:rsid w:val="1A036046"/>
    <w:rsid w:val="1A09162B"/>
    <w:rsid w:val="1A876734"/>
    <w:rsid w:val="1ADC6D40"/>
    <w:rsid w:val="1C264C49"/>
    <w:rsid w:val="1D236503"/>
    <w:rsid w:val="1E6908EA"/>
    <w:rsid w:val="1E8C282B"/>
    <w:rsid w:val="1EB51643"/>
    <w:rsid w:val="1F2955B8"/>
    <w:rsid w:val="1F8E612F"/>
    <w:rsid w:val="1FCD4505"/>
    <w:rsid w:val="20000DDB"/>
    <w:rsid w:val="22547ECA"/>
    <w:rsid w:val="234433F9"/>
    <w:rsid w:val="23582CDC"/>
    <w:rsid w:val="237822C1"/>
    <w:rsid w:val="237F295E"/>
    <w:rsid w:val="23A66DDA"/>
    <w:rsid w:val="24A53360"/>
    <w:rsid w:val="25273672"/>
    <w:rsid w:val="26200FAC"/>
    <w:rsid w:val="27265B39"/>
    <w:rsid w:val="272A3045"/>
    <w:rsid w:val="273546A8"/>
    <w:rsid w:val="28314492"/>
    <w:rsid w:val="284657F9"/>
    <w:rsid w:val="285D2B42"/>
    <w:rsid w:val="28C332ED"/>
    <w:rsid w:val="28CF57EE"/>
    <w:rsid w:val="295201CD"/>
    <w:rsid w:val="29651DD4"/>
    <w:rsid w:val="29915199"/>
    <w:rsid w:val="299802D6"/>
    <w:rsid w:val="29AC27B6"/>
    <w:rsid w:val="2AD808E3"/>
    <w:rsid w:val="2CA57D45"/>
    <w:rsid w:val="2D331317"/>
    <w:rsid w:val="2DDD2EDC"/>
    <w:rsid w:val="2E484CBF"/>
    <w:rsid w:val="2FCE3676"/>
    <w:rsid w:val="303C2840"/>
    <w:rsid w:val="305D7FFC"/>
    <w:rsid w:val="30705B08"/>
    <w:rsid w:val="30C43612"/>
    <w:rsid w:val="30D06622"/>
    <w:rsid w:val="31647F0B"/>
    <w:rsid w:val="32A43486"/>
    <w:rsid w:val="32FA30D2"/>
    <w:rsid w:val="33784BF7"/>
    <w:rsid w:val="33863895"/>
    <w:rsid w:val="34207846"/>
    <w:rsid w:val="347100A1"/>
    <w:rsid w:val="34A522D6"/>
    <w:rsid w:val="353A4937"/>
    <w:rsid w:val="35411821"/>
    <w:rsid w:val="36062A6B"/>
    <w:rsid w:val="36972608"/>
    <w:rsid w:val="36C2145E"/>
    <w:rsid w:val="376712E7"/>
    <w:rsid w:val="37BA58BB"/>
    <w:rsid w:val="37C236B3"/>
    <w:rsid w:val="3805122C"/>
    <w:rsid w:val="395A3943"/>
    <w:rsid w:val="39842625"/>
    <w:rsid w:val="39AB61A1"/>
    <w:rsid w:val="39AE63C6"/>
    <w:rsid w:val="3ACA4067"/>
    <w:rsid w:val="3ACD4293"/>
    <w:rsid w:val="3B0122EE"/>
    <w:rsid w:val="3B3B6D13"/>
    <w:rsid w:val="3B9D352A"/>
    <w:rsid w:val="3C5B0DD3"/>
    <w:rsid w:val="3C7F0E81"/>
    <w:rsid w:val="3DEF6564"/>
    <w:rsid w:val="3E2B306F"/>
    <w:rsid w:val="3E3D061C"/>
    <w:rsid w:val="3F405D5F"/>
    <w:rsid w:val="3F566811"/>
    <w:rsid w:val="40E439A9"/>
    <w:rsid w:val="41012646"/>
    <w:rsid w:val="41807B75"/>
    <w:rsid w:val="41AF7158"/>
    <w:rsid w:val="43730477"/>
    <w:rsid w:val="45521829"/>
    <w:rsid w:val="457572C5"/>
    <w:rsid w:val="45B924CA"/>
    <w:rsid w:val="45DC618E"/>
    <w:rsid w:val="472E61B1"/>
    <w:rsid w:val="476615BC"/>
    <w:rsid w:val="47FB61A8"/>
    <w:rsid w:val="47FE212D"/>
    <w:rsid w:val="480B44F2"/>
    <w:rsid w:val="48145368"/>
    <w:rsid w:val="48306AFA"/>
    <w:rsid w:val="489B7043"/>
    <w:rsid w:val="48FF3A76"/>
    <w:rsid w:val="49064E04"/>
    <w:rsid w:val="49257582"/>
    <w:rsid w:val="4A050C18"/>
    <w:rsid w:val="4A1672C9"/>
    <w:rsid w:val="4A655B5A"/>
    <w:rsid w:val="4B7507FF"/>
    <w:rsid w:val="4B766C25"/>
    <w:rsid w:val="4B985ABC"/>
    <w:rsid w:val="4BCA0332"/>
    <w:rsid w:val="4C951C5D"/>
    <w:rsid w:val="4D2B36B7"/>
    <w:rsid w:val="4D5F7DD7"/>
    <w:rsid w:val="4DAF2B1C"/>
    <w:rsid w:val="4E0A501E"/>
    <w:rsid w:val="4F005E52"/>
    <w:rsid w:val="4F713D48"/>
    <w:rsid w:val="4FD86DCF"/>
    <w:rsid w:val="500D68A2"/>
    <w:rsid w:val="50CF717D"/>
    <w:rsid w:val="51261664"/>
    <w:rsid w:val="512B6180"/>
    <w:rsid w:val="51F223CA"/>
    <w:rsid w:val="532E5466"/>
    <w:rsid w:val="537E7453"/>
    <w:rsid w:val="53F05116"/>
    <w:rsid w:val="54CE1CBE"/>
    <w:rsid w:val="55393E6B"/>
    <w:rsid w:val="554F628A"/>
    <w:rsid w:val="55924C37"/>
    <w:rsid w:val="55963F21"/>
    <w:rsid w:val="559E1FD8"/>
    <w:rsid w:val="55E21317"/>
    <w:rsid w:val="560E354A"/>
    <w:rsid w:val="56684D86"/>
    <w:rsid w:val="56A45C5C"/>
    <w:rsid w:val="58040325"/>
    <w:rsid w:val="58264A52"/>
    <w:rsid w:val="585D4315"/>
    <w:rsid w:val="588875E4"/>
    <w:rsid w:val="58E333C5"/>
    <w:rsid w:val="59206A11"/>
    <w:rsid w:val="59C26B25"/>
    <w:rsid w:val="59C7413C"/>
    <w:rsid w:val="59C83A10"/>
    <w:rsid w:val="5A906998"/>
    <w:rsid w:val="5B822A0C"/>
    <w:rsid w:val="5D2618B3"/>
    <w:rsid w:val="5D675ECE"/>
    <w:rsid w:val="5DBC6CEE"/>
    <w:rsid w:val="5DF03BC5"/>
    <w:rsid w:val="5DFE20F6"/>
    <w:rsid w:val="5E2A6A47"/>
    <w:rsid w:val="5E6261E1"/>
    <w:rsid w:val="5E6A32E8"/>
    <w:rsid w:val="5E9E59F1"/>
    <w:rsid w:val="5EC21376"/>
    <w:rsid w:val="5F2B5696"/>
    <w:rsid w:val="5F3A3316"/>
    <w:rsid w:val="5F6B7317"/>
    <w:rsid w:val="5FB628E1"/>
    <w:rsid w:val="5FD25D05"/>
    <w:rsid w:val="5FE76BB2"/>
    <w:rsid w:val="603E2C7E"/>
    <w:rsid w:val="60AA2C0A"/>
    <w:rsid w:val="60B151FE"/>
    <w:rsid w:val="612B080F"/>
    <w:rsid w:val="61F07FA8"/>
    <w:rsid w:val="62E85FE0"/>
    <w:rsid w:val="64404136"/>
    <w:rsid w:val="6472739A"/>
    <w:rsid w:val="64757D63"/>
    <w:rsid w:val="65814AD2"/>
    <w:rsid w:val="659109F3"/>
    <w:rsid w:val="659E087F"/>
    <w:rsid w:val="65F20086"/>
    <w:rsid w:val="66342B59"/>
    <w:rsid w:val="667C1E0A"/>
    <w:rsid w:val="667F60AA"/>
    <w:rsid w:val="67223CE6"/>
    <w:rsid w:val="677A27ED"/>
    <w:rsid w:val="686E1C26"/>
    <w:rsid w:val="688D7306"/>
    <w:rsid w:val="689F0FBB"/>
    <w:rsid w:val="68EB0B1C"/>
    <w:rsid w:val="697B0D4E"/>
    <w:rsid w:val="6A4D703B"/>
    <w:rsid w:val="6A587C04"/>
    <w:rsid w:val="6C2F2BF8"/>
    <w:rsid w:val="6D231231"/>
    <w:rsid w:val="6DF36E56"/>
    <w:rsid w:val="6E080021"/>
    <w:rsid w:val="6E310590"/>
    <w:rsid w:val="6E82467D"/>
    <w:rsid w:val="6F0466AF"/>
    <w:rsid w:val="6F7408F5"/>
    <w:rsid w:val="6F9603E0"/>
    <w:rsid w:val="6FCA57E7"/>
    <w:rsid w:val="7048491A"/>
    <w:rsid w:val="7073254B"/>
    <w:rsid w:val="70E77AE2"/>
    <w:rsid w:val="716C7F12"/>
    <w:rsid w:val="71804EA4"/>
    <w:rsid w:val="71AE037A"/>
    <w:rsid w:val="71D56D84"/>
    <w:rsid w:val="71F951B3"/>
    <w:rsid w:val="72195B85"/>
    <w:rsid w:val="72CA4D5D"/>
    <w:rsid w:val="72CE7748"/>
    <w:rsid w:val="73004525"/>
    <w:rsid w:val="731C6E4F"/>
    <w:rsid w:val="73204AE1"/>
    <w:rsid w:val="738E73C1"/>
    <w:rsid w:val="749B0247"/>
    <w:rsid w:val="74A978FF"/>
    <w:rsid w:val="74EB7052"/>
    <w:rsid w:val="74FE7087"/>
    <w:rsid w:val="754D552B"/>
    <w:rsid w:val="758621DF"/>
    <w:rsid w:val="75925C60"/>
    <w:rsid w:val="766A2D3B"/>
    <w:rsid w:val="76F8372F"/>
    <w:rsid w:val="77143045"/>
    <w:rsid w:val="772466C2"/>
    <w:rsid w:val="777C610E"/>
    <w:rsid w:val="77D311C4"/>
    <w:rsid w:val="78A40784"/>
    <w:rsid w:val="79312A3B"/>
    <w:rsid w:val="799D2711"/>
    <w:rsid w:val="79D62232"/>
    <w:rsid w:val="79F63A08"/>
    <w:rsid w:val="7C3113BB"/>
    <w:rsid w:val="7C326F05"/>
    <w:rsid w:val="7CD24A22"/>
    <w:rsid w:val="7CE0713F"/>
    <w:rsid w:val="7D567401"/>
    <w:rsid w:val="7D694E7F"/>
    <w:rsid w:val="7D853498"/>
    <w:rsid w:val="7DAD6B37"/>
    <w:rsid w:val="7DB163E5"/>
    <w:rsid w:val="7DD44378"/>
    <w:rsid w:val="7E1F367A"/>
    <w:rsid w:val="7ED152B8"/>
    <w:rsid w:val="7EE203CE"/>
    <w:rsid w:val="7FDC1E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semiHidden/>
    <w:unhideWhenUsed/>
    <w:qFormat/>
    <w:uiPriority w:val="99"/>
    <w:pPr>
      <w:spacing w:before="0" w:beforeAutospacing="0" w:after="0" w:afterAutospacing="0"/>
      <w:ind w:left="0" w:right="0"/>
      <w:jc w:val="left"/>
    </w:pPr>
    <w:rPr>
      <w:kern w:val="0"/>
      <w:sz w:val="24"/>
      <w:lang w:val="en-US" w:eastAsia="zh-CN" w:bidi="ar"/>
    </w:rPr>
  </w:style>
  <w:style w:type="character" w:styleId="12">
    <w:name w:val="Strong"/>
    <w:basedOn w:val="11"/>
    <w:qFormat/>
    <w:uiPriority w:val="99"/>
    <w:rPr>
      <w:b/>
    </w:rPr>
  </w:style>
  <w:style w:type="character" w:styleId="13">
    <w:name w:val="Hyperlink"/>
    <w:basedOn w:val="11"/>
    <w:unhideWhenUsed/>
    <w:qFormat/>
    <w:uiPriority w:val="99"/>
    <w:rPr>
      <w:rFonts w:cs="Times New Roman"/>
      <w:color w:val="0000FF"/>
      <w:u w:val="single"/>
    </w:rPr>
  </w:style>
  <w:style w:type="character" w:customStyle="1" w:styleId="14">
    <w:name w:val="标题 1 Char"/>
    <w:basedOn w:val="11"/>
    <w:link w:val="2"/>
    <w:qFormat/>
    <w:uiPriority w:val="9"/>
    <w:rPr>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ocuments\tencent%20files\644212550\filerecv\&#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ocuments\tencent%20files\644212550\filerecv\&#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ocuments\tencent%20files\644212550\filerecv\&#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ocuments\tencent%20files\644212550\filerecv\&#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ocuments\tencent%20files\644212550\filerecv\&#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963557105492589"/>
          <c:y val="0.191313053851398"/>
          <c:w val="0.867724498692241"/>
          <c:h val="0.681595092024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[图表.xlsx]收入支出决算总计变动情况图!$A$1:$A$2</c:f>
              <c:strCache>
                <c:ptCount val="2"/>
                <c:pt idx="0">
                  <c:v>2020年度收、支总计</c:v>
                </c:pt>
                <c:pt idx="1">
                  <c:v>2021年度收、支总计</c:v>
                </c:pt>
              </c:strCache>
            </c:strRef>
          </c:cat>
          <c:val>
            <c:numRef>
              <c:f>[图表.xlsx]收入支出决算总计变动情况图!$B$1:$B$2</c:f>
              <c:numCache>
                <c:formatCode>General</c:formatCode>
                <c:ptCount val="2"/>
                <c:pt idx="0">
                  <c:v>928.62</c:v>
                </c:pt>
                <c:pt idx="1">
                  <c:v>2021.2</c:v>
                </c:pt>
              </c:numCache>
            </c:numRef>
          </c:val>
        </c:ser>
        <c:dLbls>
          <c:showLegendKey val="0"/>
          <c:showVal val="1"/>
          <c:showCatName val="0"/>
          <c:showSerName val="0"/>
          <c:showPercent val="0"/>
          <c:showBubbleSize val="0"/>
        </c:dLbls>
        <c:gapWidth val="219"/>
        <c:overlap val="-27"/>
        <c:axId val="271857849"/>
        <c:axId val="703966778"/>
      </c:barChart>
      <c:catAx>
        <c:axId val="2718578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3966778"/>
        <c:crosses val="autoZero"/>
        <c:auto val="1"/>
        <c:lblAlgn val="ctr"/>
        <c:lblOffset val="100"/>
        <c:noMultiLvlLbl val="0"/>
      </c:catAx>
      <c:valAx>
        <c:axId val="7039667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85784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9125"/>
          <c:y val="0.0183333333333333"/>
        </c:manualLayout>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收入比</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[图表.xlsx]支出决算结构图!$A$1:$A$5</c:f>
              <c:strCache>
                <c:ptCount val="5"/>
                <c:pt idx="0">
                  <c:v>基本支出</c:v>
                </c:pt>
                <c:pt idx="1">
                  <c:v>项目支出</c:v>
                </c:pt>
                <c:pt idx="2">
                  <c:v>上缴上级支出</c:v>
                </c:pt>
                <c:pt idx="3">
                  <c:v>经营支出</c:v>
                </c:pt>
                <c:pt idx="4">
                  <c:v>对附属单位补助支出</c:v>
                </c:pt>
              </c:strCache>
            </c:strRef>
          </c:cat>
          <c:val>
            <c:numRef>
              <c:f>[图表.xlsx]支出决算结构图!$B$1:$B$5</c:f>
              <c:numCache>
                <c:formatCode>General</c:formatCode>
                <c:ptCount val="5"/>
                <c:pt idx="0">
                  <c:v>436.9</c:v>
                </c:pt>
                <c:pt idx="1">
                  <c:v>1584.3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[图表.xlsx]财政拨款收、支决算总计变动情况!$A$1:$A$2</c:f>
              <c:strCache>
                <c:ptCount val="2"/>
                <c:pt idx="0">
                  <c:v>2020年财政拨款收、支</c:v>
                </c:pt>
                <c:pt idx="1">
                  <c:v>2021年财政拨款收、支</c:v>
                </c:pt>
              </c:strCache>
            </c:strRef>
          </c:cat>
          <c:val>
            <c:numRef>
              <c:f>[图表.xlsx]财政拨款收、支决算总计变动情况!$B$1:$B$2</c:f>
              <c:numCache>
                <c:formatCode>General</c:formatCode>
                <c:ptCount val="2"/>
                <c:pt idx="0">
                  <c:v>928.2</c:v>
                </c:pt>
                <c:pt idx="1">
                  <c:v>2021.2</c:v>
                </c:pt>
              </c:numCache>
            </c:numRef>
          </c:val>
        </c:ser>
        <c:dLbls>
          <c:showLegendKey val="0"/>
          <c:showVal val="1"/>
          <c:showCatName val="0"/>
          <c:showSerName val="0"/>
          <c:showPercent val="0"/>
          <c:showBubbleSize val="0"/>
        </c:dLbls>
        <c:gapWidth val="150"/>
        <c:overlap val="100"/>
        <c:axId val="54546180"/>
        <c:axId val="977284189"/>
      </c:barChart>
      <c:catAx>
        <c:axId val="545461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284189"/>
        <c:crosses val="autoZero"/>
        <c:auto val="1"/>
        <c:lblAlgn val="ctr"/>
        <c:lblOffset val="100"/>
        <c:noMultiLvlLbl val="0"/>
      </c:catAx>
      <c:valAx>
        <c:axId val="9772841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461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[图表.xlsx]财政拨款收、支决算总计变动情况!$A$1:$A$2</c:f>
              <c:strCache>
                <c:ptCount val="2"/>
                <c:pt idx="0">
                  <c:v>2020年财政拨款收、支</c:v>
                </c:pt>
                <c:pt idx="1">
                  <c:v>2021年财政拨款收、支</c:v>
                </c:pt>
              </c:strCache>
            </c:strRef>
          </c:cat>
          <c:val>
            <c:numRef>
              <c:f>[图表.xlsx]财政拨款收、支决算总计变动情况!$B$1:$B$2</c:f>
              <c:numCache>
                <c:formatCode>General</c:formatCode>
                <c:ptCount val="2"/>
                <c:pt idx="0">
                  <c:v>928.2</c:v>
                </c:pt>
                <c:pt idx="1">
                  <c:v>2021.2</c:v>
                </c:pt>
              </c:numCache>
            </c:numRef>
          </c:val>
        </c:ser>
        <c:dLbls>
          <c:showLegendKey val="0"/>
          <c:showVal val="1"/>
          <c:showCatName val="0"/>
          <c:showSerName val="0"/>
          <c:showPercent val="0"/>
          <c:showBubbleSize val="0"/>
        </c:dLbls>
        <c:gapWidth val="150"/>
        <c:overlap val="100"/>
        <c:axId val="54546180"/>
        <c:axId val="977284189"/>
      </c:barChart>
      <c:catAx>
        <c:axId val="545461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284189"/>
        <c:crosses val="autoZero"/>
        <c:auto val="1"/>
        <c:lblAlgn val="ctr"/>
        <c:lblOffset val="100"/>
        <c:noMultiLvlLbl val="0"/>
      </c:catAx>
      <c:valAx>
        <c:axId val="9772841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461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0.0794438698309044"/>
                  <c:y val="-0.04366545099632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[图表.xlsx]一般公共预算财政拨款支出决算结构!$A$1:$A$5</c:f>
              <c:strCache>
                <c:ptCount val="5"/>
                <c:pt idx="0">
                  <c:v>一般公共服务类支出</c:v>
                </c:pt>
                <c:pt idx="1">
                  <c:v>社会保障和就业支出</c:v>
                </c:pt>
                <c:pt idx="2">
                  <c:v>城乡社区支出</c:v>
                </c:pt>
                <c:pt idx="3">
                  <c:v>卫生健康支出</c:v>
                </c:pt>
                <c:pt idx="4">
                  <c:v>住房保障支出</c:v>
                </c:pt>
              </c:strCache>
            </c:strRef>
          </c:cat>
          <c:val>
            <c:numRef>
              <c:f>[图表.xlsx]一般公共预算财政拨款支出决算结构!$B$1:$B$5</c:f>
              <c:numCache>
                <c:formatCode>General</c:formatCode>
                <c:ptCount val="5"/>
                <c:pt idx="0">
                  <c:v>1637.5</c:v>
                </c:pt>
                <c:pt idx="1">
                  <c:v>28.4</c:v>
                </c:pt>
                <c:pt idx="2">
                  <c:v>314.6</c:v>
                </c:pt>
                <c:pt idx="3">
                  <c:v>19.4</c:v>
                </c:pt>
                <c:pt idx="4">
                  <c:v>21.3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12498</Words>
  <Characters>13068</Characters>
  <Lines>0</Lines>
  <Paragraphs>0</Paragraphs>
  <TotalTime>2</TotalTime>
  <ScaleCrop>false</ScaleCrop>
  <LinksUpToDate>false</LinksUpToDate>
  <CharactersWithSpaces>13278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HASEE</cp:lastModifiedBy>
  <dcterms:modified xsi:type="dcterms:W3CDTF">2023-09-16T04:15:20Z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52C08DA7F26C425D8FBF7ECEBF959205</vt:lpwstr>
  </property>
</Properties>
</file>