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jc w:val="center"/>
        <w:outlineLvl w:val="0"/>
        <w:rPr>
          <w:rFonts w:ascii="方正小标宋简体" w:hAnsi="宋体" w:eastAsia="方正小标宋简体"/>
          <w:b/>
          <w:color w:val="000000"/>
          <w:sz w:val="52"/>
          <w:szCs w:val="52"/>
        </w:rPr>
      </w:pPr>
      <w:bookmarkStart w:id="1" w:name="_Toc15396597"/>
      <w:bookmarkStart w:id="2" w:name="_Toc15377425"/>
      <w:bookmarkStart w:id="3" w:name="_Toc15396475"/>
      <w:bookmarkStart w:id="4" w:name="_Toc15378441"/>
      <w:bookmarkStart w:id="5" w:name="_Toc15377193"/>
      <w:r>
        <w:rPr>
          <w:rFonts w:hint="eastAsia" w:ascii="方正小标宋简体" w:hAnsi="黑体" w:eastAsia="方正小标宋简体"/>
          <w:b/>
          <w:color w:val="000000"/>
          <w:sz w:val="52"/>
          <w:szCs w:val="52"/>
        </w:rPr>
        <w:t>2021</w:t>
      </w:r>
      <w:r>
        <w:rPr>
          <w:rFonts w:hint="eastAsia" w:ascii="方正小标宋简体" w:hAnsi="宋体" w:eastAsia="方正小标宋简体"/>
          <w:b/>
          <w:color w:val="000000"/>
          <w:sz w:val="52"/>
          <w:szCs w:val="52"/>
        </w:rPr>
        <w:t>年度</w:t>
      </w:r>
      <w:bookmarkEnd w:id="1"/>
      <w:bookmarkEnd w:id="2"/>
      <w:bookmarkEnd w:id="3"/>
      <w:bookmarkEnd w:id="4"/>
      <w:bookmarkEnd w:id="5"/>
    </w:p>
    <w:bookmarkEnd w:id="0"/>
    <w:p>
      <w:pPr>
        <w:adjustRightInd w:val="0"/>
        <w:snapToGrid w:val="0"/>
        <w:jc w:val="center"/>
        <w:outlineLvl w:val="0"/>
        <w:rPr>
          <w:rFonts w:ascii="方正小标宋简体" w:hAnsi="宋体" w:eastAsia="方正小标宋简体"/>
          <w:b/>
          <w:color w:val="000000"/>
          <w:sz w:val="52"/>
          <w:szCs w:val="52"/>
        </w:rPr>
      </w:pPr>
      <w:bookmarkStart w:id="6" w:name="_Toc15396476"/>
      <w:bookmarkStart w:id="7" w:name="_Toc15396598"/>
      <w:bookmarkStart w:id="8" w:name="_Toc15378442"/>
      <w:bookmarkStart w:id="9" w:name="_Toc15306268"/>
      <w:bookmarkStart w:id="10" w:name="_Toc15377426"/>
      <w:bookmarkStart w:id="11" w:name="_Toc15377194"/>
      <w:r>
        <w:rPr>
          <w:rFonts w:hint="eastAsia" w:ascii="方正小标宋简体" w:hAnsi="宋体" w:eastAsia="方正小标宋简体"/>
          <w:b/>
          <w:color w:val="000000"/>
          <w:sz w:val="52"/>
          <w:szCs w:val="52"/>
        </w:rPr>
        <w:t>巴中市红鱼洞水库运行保护中心</w:t>
      </w:r>
    </w:p>
    <w:p>
      <w:pPr>
        <w:adjustRightInd w:val="0"/>
        <w:snapToGrid w:val="0"/>
        <w:jc w:val="center"/>
        <w:outlineLvl w:val="0"/>
        <w:rPr>
          <w:rFonts w:ascii="方正小标宋简体" w:hAnsi="宋体" w:eastAsia="方正小标宋简体"/>
          <w:b/>
          <w:color w:val="000000"/>
          <w:sz w:val="52"/>
          <w:szCs w:val="52"/>
        </w:rPr>
      </w:pPr>
      <w:r>
        <w:rPr>
          <w:rFonts w:hint="eastAsia" w:ascii="方正小标宋简体" w:hAnsi="宋体" w:eastAsia="方正小标宋简体"/>
          <w:b/>
          <w:color w:val="000000"/>
          <w:sz w:val="52"/>
          <w:szCs w:val="52"/>
        </w:rPr>
        <w:t>部门决算</w:t>
      </w:r>
      <w:bookmarkEnd w:id="6"/>
      <w:bookmarkEnd w:id="7"/>
      <w:bookmarkEnd w:id="8"/>
      <w:bookmarkEnd w:id="9"/>
      <w:bookmarkEnd w:id="10"/>
      <w:bookmarkEnd w:id="11"/>
      <w:r>
        <w:rPr>
          <w:rFonts w:hint="eastAsia" w:ascii="方正小标宋简体" w:hAnsi="宋体" w:eastAsia="方正小标宋简体"/>
          <w:b/>
          <w:color w:val="000000"/>
          <w:sz w:val="52"/>
          <w:szCs w:val="52"/>
        </w:rPr>
        <w:t>编制说明</w:t>
      </w: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adjustRightInd w:val="0"/>
        <w:snapToGrid w:val="0"/>
        <w:spacing w:line="360" w:lineRule="auto"/>
        <w:jc w:val="center"/>
        <w:outlineLvl w:val="0"/>
        <w:rPr>
          <w:rFonts w:ascii="方正小标宋简体" w:hAnsi="宋体" w:eastAsia="方正小标宋简体"/>
          <w:b/>
          <w:color w:val="000000"/>
          <w:sz w:val="52"/>
          <w:szCs w:val="52"/>
        </w:rPr>
      </w:pPr>
    </w:p>
    <w:p>
      <w:pPr>
        <w:widowControl/>
        <w:jc w:val="center"/>
        <w:rPr>
          <w:rFonts w:ascii="方正小标宋简体" w:hAnsi="宋体" w:eastAsia="方正小标宋简体"/>
          <w:color w:val="000000"/>
          <w:sz w:val="36"/>
          <w:szCs w:val="36"/>
        </w:rPr>
      </w:pPr>
      <w:r>
        <w:rPr>
          <w:rFonts w:ascii="方正小标宋简体" w:hAnsi="宋体" w:eastAsia="方正小标宋简体"/>
          <w:color w:val="000000"/>
          <w:sz w:val="36"/>
          <w:szCs w:val="36"/>
        </w:rPr>
        <w:br w:type="page"/>
      </w:r>
      <w:bookmarkStart w:id="12" w:name="_Toc15396599"/>
      <w:bookmarkStart w:id="13" w:name="_Toc15377196"/>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sz w:val="28"/>
          <w:szCs w:val="28"/>
        </w:rPr>
      </w:pPr>
    </w:p>
    <w:p>
      <w:bookmarkStart w:id="69" w:name="_GoBack"/>
      <w:bookmarkEnd w:id="69"/>
    </w:p>
    <w:p>
      <w:pPr>
        <w:pStyle w:val="11"/>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r>
        <w:rPr>
          <w:sz w:val="24"/>
        </w:rPr>
        <w:t>……………………………………………………</w:t>
      </w:r>
      <w:r>
        <w:rPr>
          <w:rFonts w:hint="eastAsia"/>
          <w:sz w:val="24"/>
        </w:rPr>
        <w:t>1</w:t>
      </w:r>
    </w:p>
    <w:p>
      <w:pPr>
        <w:pStyle w:val="12"/>
        <w:adjustRightInd w:val="0"/>
        <w:snapToGrid w:val="0"/>
        <w:spacing w:line="440" w:lineRule="exact"/>
        <w:jc w:val="left"/>
        <w:rPr>
          <w:rFonts w:ascii="仿宋" w:hAnsi="仿宋" w:eastAsia="仿宋"/>
          <w:sz w:val="24"/>
        </w:rPr>
      </w:pPr>
      <w:r>
        <w:rPr>
          <w:rFonts w:hint="eastAsia"/>
          <w:sz w:val="24"/>
        </w:rPr>
        <w:t>一、基本职能及主要工作</w:t>
      </w:r>
      <w:r>
        <w:rPr>
          <w:sz w:val="24"/>
        </w:rPr>
        <w:t>………………………………………</w:t>
      </w:r>
      <w:r>
        <w:rPr>
          <w:rFonts w:hint="eastAsia"/>
          <w:sz w:val="24"/>
        </w:rPr>
        <w:t>...6</w:t>
      </w:r>
    </w:p>
    <w:p>
      <w:pPr>
        <w:pStyle w:val="12"/>
        <w:adjustRightInd w:val="0"/>
        <w:snapToGrid w:val="0"/>
        <w:spacing w:line="440" w:lineRule="exact"/>
        <w:jc w:val="left"/>
        <w:rPr>
          <w:rFonts w:ascii="仿宋" w:hAnsi="仿宋" w:eastAsia="仿宋"/>
          <w:sz w:val="24"/>
        </w:rPr>
      </w:pPr>
      <w:r>
        <w:rPr>
          <w:rFonts w:hint="eastAsia"/>
          <w:sz w:val="24"/>
        </w:rPr>
        <w:t>二、机构设置</w:t>
      </w:r>
      <w:r>
        <w:rPr>
          <w:sz w:val="24"/>
        </w:rPr>
        <w:t>……………………………………………………</w:t>
      </w:r>
      <w:r>
        <w:rPr>
          <w:rFonts w:hint="eastAsia"/>
          <w:sz w:val="24"/>
        </w:rPr>
        <w:t>...7</w:t>
      </w:r>
    </w:p>
    <w:p>
      <w:pPr>
        <w:pStyle w:val="11"/>
        <w:adjustRightInd w:val="0"/>
        <w:snapToGrid w:val="0"/>
        <w:spacing w:before="0" w:line="440" w:lineRule="exact"/>
        <w:jc w:val="left"/>
        <w:rPr>
          <w:sz w:val="24"/>
          <w:szCs w:val="24"/>
        </w:rPr>
      </w:pPr>
      <w:r>
        <w:rPr>
          <w:rFonts w:hint="eastAsia"/>
          <w:sz w:val="24"/>
        </w:rPr>
        <w:t>第二部分</w:t>
      </w:r>
      <w:r>
        <w:rPr>
          <w:rFonts w:hint="eastAsia"/>
          <w:sz w:val="24"/>
          <w:lang w:eastAsia="zh-CN"/>
        </w:rPr>
        <w:t>年</w:t>
      </w:r>
      <w:r>
        <w:rPr>
          <w:rFonts w:hint="eastAsia"/>
          <w:sz w:val="24"/>
        </w:rPr>
        <w:t>度部门决算情况说明</w:t>
      </w:r>
      <w:r>
        <w:rPr>
          <w:sz w:val="24"/>
        </w:rPr>
        <w:t>………………………………………</w:t>
      </w:r>
      <w:r>
        <w:rPr>
          <w:rFonts w:hint="eastAsia"/>
          <w:sz w:val="24"/>
        </w:rPr>
        <w:t>.8</w:t>
      </w:r>
    </w:p>
    <w:p>
      <w:pPr>
        <w:pStyle w:val="12"/>
        <w:adjustRightInd w:val="0"/>
        <w:snapToGrid w:val="0"/>
        <w:spacing w:line="440" w:lineRule="exact"/>
        <w:jc w:val="left"/>
        <w:rPr>
          <w:rFonts w:ascii="仿宋" w:hAnsi="仿宋" w:eastAsia="仿宋"/>
          <w:sz w:val="24"/>
        </w:rPr>
      </w:pPr>
      <w:r>
        <w:rPr>
          <w:rFonts w:hint="eastAsia"/>
          <w:sz w:val="24"/>
        </w:rPr>
        <w:t>一、收入支出决算总体情况说明</w:t>
      </w:r>
      <w:r>
        <w:rPr>
          <w:sz w:val="24"/>
        </w:rPr>
        <w:t>……………………………</w:t>
      </w:r>
      <w:r>
        <w:rPr>
          <w:rFonts w:hint="eastAsia"/>
          <w:sz w:val="24"/>
        </w:rPr>
        <w:t>...</w:t>
      </w:r>
      <w:r>
        <w:rPr>
          <w:sz w:val="24"/>
        </w:rPr>
        <w:t>…</w:t>
      </w:r>
      <w:r>
        <w:rPr>
          <w:rFonts w:hint="eastAsia"/>
          <w:sz w:val="24"/>
        </w:rPr>
        <w:t>8</w:t>
      </w:r>
    </w:p>
    <w:p>
      <w:pPr>
        <w:pStyle w:val="12"/>
        <w:adjustRightInd w:val="0"/>
        <w:snapToGrid w:val="0"/>
        <w:spacing w:line="440" w:lineRule="exact"/>
        <w:jc w:val="left"/>
        <w:rPr>
          <w:rFonts w:ascii="仿宋" w:hAnsi="仿宋" w:eastAsia="仿宋"/>
          <w:sz w:val="24"/>
        </w:rPr>
      </w:pPr>
      <w:r>
        <w:rPr>
          <w:rFonts w:hint="eastAsia"/>
          <w:sz w:val="24"/>
        </w:rPr>
        <w:t>二、收入决算情况说明</w:t>
      </w:r>
      <w:r>
        <w:rPr>
          <w:sz w:val="24"/>
        </w:rPr>
        <w:t>………………………………………</w:t>
      </w:r>
      <w:r>
        <w:rPr>
          <w:rFonts w:hint="eastAsia"/>
          <w:sz w:val="24"/>
        </w:rPr>
        <w:t>..</w:t>
      </w:r>
      <w:r>
        <w:rPr>
          <w:sz w:val="24"/>
        </w:rPr>
        <w:t>…</w:t>
      </w:r>
      <w:r>
        <w:rPr>
          <w:rFonts w:hint="eastAsia"/>
          <w:sz w:val="24"/>
        </w:rPr>
        <w:t>.8</w:t>
      </w:r>
    </w:p>
    <w:p>
      <w:pPr>
        <w:pStyle w:val="12"/>
        <w:adjustRightInd w:val="0"/>
        <w:snapToGrid w:val="0"/>
        <w:spacing w:line="440" w:lineRule="exact"/>
        <w:jc w:val="left"/>
        <w:rPr>
          <w:rFonts w:ascii="仿宋" w:hAnsi="仿宋" w:eastAsia="仿宋"/>
          <w:sz w:val="24"/>
        </w:rPr>
      </w:pPr>
      <w:r>
        <w:rPr>
          <w:rFonts w:hint="eastAsia"/>
          <w:sz w:val="24"/>
        </w:rPr>
        <w:t>三、支出决算情况说明</w:t>
      </w:r>
      <w:r>
        <w:rPr>
          <w:sz w:val="24"/>
        </w:rPr>
        <w:t>………………………………………</w:t>
      </w:r>
      <w:r>
        <w:rPr>
          <w:rFonts w:hint="eastAsia"/>
          <w:sz w:val="24"/>
        </w:rPr>
        <w:t>.</w:t>
      </w:r>
      <w:r>
        <w:rPr>
          <w:sz w:val="24"/>
        </w:rPr>
        <w:t>…</w:t>
      </w:r>
      <w:r>
        <w:rPr>
          <w:rFonts w:hint="eastAsia"/>
          <w:sz w:val="24"/>
        </w:rPr>
        <w:t>..9</w:t>
      </w:r>
    </w:p>
    <w:p>
      <w:pPr>
        <w:pStyle w:val="12"/>
        <w:adjustRightInd w:val="0"/>
        <w:snapToGrid w:val="0"/>
        <w:spacing w:line="440" w:lineRule="exact"/>
        <w:jc w:val="left"/>
        <w:rPr>
          <w:rFonts w:ascii="仿宋" w:hAnsi="仿宋" w:eastAsia="仿宋"/>
          <w:sz w:val="24"/>
        </w:rPr>
      </w:pPr>
      <w:r>
        <w:rPr>
          <w:rFonts w:hint="eastAsia"/>
          <w:sz w:val="24"/>
        </w:rPr>
        <w:t>四、财政拨款收入支出决算总体情况说明</w:t>
      </w:r>
      <w:r>
        <w:rPr>
          <w:sz w:val="24"/>
        </w:rPr>
        <w:t>……………………</w:t>
      </w:r>
      <w:r>
        <w:rPr>
          <w:rFonts w:hint="eastAsia"/>
          <w:sz w:val="24"/>
        </w:rPr>
        <w:t>.10</w:t>
      </w:r>
    </w:p>
    <w:p>
      <w:pPr>
        <w:pStyle w:val="12"/>
        <w:adjustRightInd w:val="0"/>
        <w:snapToGrid w:val="0"/>
        <w:spacing w:line="440" w:lineRule="exact"/>
        <w:jc w:val="left"/>
        <w:rPr>
          <w:rFonts w:ascii="仿宋" w:hAnsi="仿宋" w:eastAsia="仿宋"/>
          <w:sz w:val="24"/>
        </w:rPr>
      </w:pPr>
      <w:r>
        <w:rPr>
          <w:rFonts w:hint="eastAsia"/>
          <w:sz w:val="24"/>
        </w:rPr>
        <w:t>五、一般公共预算财政拨款支出决算情况说明</w:t>
      </w:r>
      <w:r>
        <w:rPr>
          <w:sz w:val="24"/>
        </w:rPr>
        <w:t>………………</w:t>
      </w:r>
      <w:r>
        <w:rPr>
          <w:rFonts w:hint="eastAsia"/>
          <w:sz w:val="24"/>
        </w:rPr>
        <w:t>..11</w:t>
      </w:r>
    </w:p>
    <w:p>
      <w:pPr>
        <w:pStyle w:val="12"/>
        <w:adjustRightInd w:val="0"/>
        <w:snapToGrid w:val="0"/>
        <w:spacing w:line="440" w:lineRule="exact"/>
        <w:jc w:val="left"/>
        <w:rPr>
          <w:rFonts w:ascii="仿宋" w:hAnsi="仿宋" w:eastAsia="仿宋"/>
          <w:sz w:val="24"/>
        </w:rPr>
      </w:pPr>
      <w:r>
        <w:rPr>
          <w:rFonts w:hint="eastAsia"/>
          <w:sz w:val="24"/>
        </w:rPr>
        <w:t>六、一般公共预算财政拨款基本支出决算情况说明</w:t>
      </w:r>
      <w:r>
        <w:rPr>
          <w:sz w:val="24"/>
        </w:rPr>
        <w:t>…………</w:t>
      </w:r>
      <w:r>
        <w:rPr>
          <w:rFonts w:hint="eastAsia"/>
          <w:sz w:val="24"/>
        </w:rPr>
        <w:t>..13</w:t>
      </w:r>
    </w:p>
    <w:p>
      <w:pPr>
        <w:pStyle w:val="12"/>
        <w:adjustRightInd w:val="0"/>
        <w:snapToGrid w:val="0"/>
        <w:spacing w:line="440" w:lineRule="exact"/>
        <w:jc w:val="left"/>
        <w:rPr>
          <w:rFonts w:ascii="仿宋" w:hAnsi="仿宋" w:eastAsia="仿宋"/>
          <w:sz w:val="24"/>
        </w:rPr>
      </w:pPr>
      <w:r>
        <w:rPr>
          <w:rFonts w:hint="eastAsia"/>
          <w:sz w:val="24"/>
        </w:rPr>
        <w:t>七、</w:t>
      </w:r>
      <w:r>
        <w:rPr>
          <w:sz w:val="24"/>
        </w:rPr>
        <w:t>“</w:t>
      </w:r>
      <w:r>
        <w:rPr>
          <w:rFonts w:hint="eastAsia"/>
          <w:sz w:val="24"/>
        </w:rPr>
        <w:t>三公”经费财政拨款支出决算情况说明</w:t>
      </w:r>
      <w:r>
        <w:rPr>
          <w:sz w:val="24"/>
        </w:rPr>
        <w:t>…………………</w:t>
      </w:r>
      <w:r>
        <w:rPr>
          <w:rFonts w:hint="eastAsia"/>
          <w:sz w:val="24"/>
        </w:rPr>
        <w:t>14</w:t>
      </w:r>
    </w:p>
    <w:p>
      <w:pPr>
        <w:pStyle w:val="12"/>
        <w:adjustRightInd w:val="0"/>
        <w:snapToGrid w:val="0"/>
        <w:spacing w:line="440" w:lineRule="exact"/>
        <w:jc w:val="left"/>
        <w:rPr>
          <w:rFonts w:ascii="仿宋" w:hAnsi="仿宋" w:eastAsia="仿宋"/>
          <w:sz w:val="24"/>
        </w:rPr>
      </w:pPr>
      <w:r>
        <w:rPr>
          <w:rFonts w:hint="eastAsia"/>
          <w:sz w:val="24"/>
        </w:rPr>
        <w:t>八、政府性基金预算支出决算情况说明</w:t>
      </w:r>
      <w:r>
        <w:rPr>
          <w:sz w:val="24"/>
        </w:rPr>
        <w:t>……………………</w:t>
      </w:r>
      <w:r>
        <w:rPr>
          <w:rFonts w:hint="eastAsia"/>
          <w:sz w:val="24"/>
        </w:rPr>
        <w:t>.</w:t>
      </w:r>
      <w:r>
        <w:rPr>
          <w:sz w:val="24"/>
        </w:rPr>
        <w:t>…</w:t>
      </w:r>
      <w:r>
        <w:rPr>
          <w:rFonts w:hint="eastAsia"/>
          <w:sz w:val="24"/>
        </w:rPr>
        <w:t>.15</w:t>
      </w:r>
    </w:p>
    <w:p>
      <w:pPr>
        <w:pStyle w:val="12"/>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w:t>
      </w:r>
      <w:r>
        <w:rPr>
          <w:rFonts w:hint="eastAsia"/>
          <w:sz w:val="24"/>
        </w:rPr>
        <w:t>国有资本经营预算支出决算情况说明</w:t>
      </w:r>
      <w:r>
        <w:rPr>
          <w:sz w:val="24"/>
        </w:rPr>
        <w:t>…………………</w:t>
      </w:r>
      <w:r>
        <w:rPr>
          <w:rFonts w:hint="eastAsia"/>
          <w:sz w:val="24"/>
        </w:rPr>
        <w:t>....15</w:t>
      </w:r>
    </w:p>
    <w:p>
      <w:pPr>
        <w:adjustRightInd w:val="0"/>
        <w:snapToGrid w:val="0"/>
        <w:spacing w:line="440" w:lineRule="exact"/>
        <w:ind w:firstLine="480" w:firstLineChars="200"/>
        <w:jc w:val="left"/>
        <w:rPr>
          <w:rFonts w:ascii="仿宋" w:hAnsi="仿宋" w:eastAsia="仿宋"/>
          <w:sz w:val="24"/>
        </w:rPr>
      </w:pPr>
      <w:r>
        <w:rPr>
          <w:rStyle w:val="17"/>
          <w:rFonts w:hint="eastAsia" w:ascii="仿宋" w:hAnsi="仿宋" w:eastAsia="仿宋"/>
          <w:color w:val="000000"/>
          <w:sz w:val="24"/>
        </w:rPr>
        <w:t>十、</w:t>
      </w:r>
      <w:r>
        <w:rPr>
          <w:rFonts w:hint="eastAsia"/>
          <w:sz w:val="24"/>
        </w:rPr>
        <w:t>其他重要事项的情况说明.....................................................</w:t>
      </w:r>
      <w:r>
        <w:rPr>
          <w:rFonts w:hint="eastAsia" w:ascii="仿宋" w:hAnsi="仿宋" w:eastAsia="仿宋"/>
          <w:sz w:val="24"/>
        </w:rPr>
        <w:t>16</w:t>
      </w:r>
    </w:p>
    <w:p>
      <w:pPr>
        <w:pStyle w:val="11"/>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r>
        <w:rPr>
          <w:sz w:val="24"/>
        </w:rPr>
        <w:t>…………………………………………………</w:t>
      </w:r>
      <w:r>
        <w:rPr>
          <w:rFonts w:hint="eastAsia"/>
          <w:sz w:val="24"/>
        </w:rPr>
        <w:t>..20</w:t>
      </w:r>
    </w:p>
    <w:p>
      <w:pPr>
        <w:pStyle w:val="11"/>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r>
        <w:rPr>
          <w:sz w:val="24"/>
        </w:rPr>
        <w:t>…………………………………………………………</w:t>
      </w:r>
      <w:r>
        <w:rPr>
          <w:rFonts w:hint="eastAsia"/>
          <w:sz w:val="24"/>
        </w:rPr>
        <w:t>23</w:t>
      </w:r>
    </w:p>
    <w:p>
      <w:pPr>
        <w:pStyle w:val="12"/>
        <w:adjustRightInd w:val="0"/>
        <w:snapToGrid w:val="0"/>
        <w:spacing w:line="440" w:lineRule="exact"/>
        <w:jc w:val="left"/>
        <w:rPr>
          <w:rFonts w:ascii="仿宋" w:hAnsi="仿宋" w:eastAsia="仿宋"/>
          <w:sz w:val="24"/>
        </w:rPr>
      </w:pPr>
      <w:r>
        <w:rPr>
          <w:rFonts w:hint="eastAsia"/>
          <w:sz w:val="24"/>
        </w:rPr>
        <w:t>附件</w:t>
      </w:r>
      <w:r>
        <w:rPr>
          <w:sz w:val="24"/>
        </w:rPr>
        <w:t>1………………………………………………………………</w:t>
      </w:r>
      <w:r>
        <w:rPr>
          <w:rFonts w:hint="eastAsia"/>
          <w:sz w:val="24"/>
        </w:rPr>
        <w:t>22</w:t>
      </w:r>
    </w:p>
    <w:p>
      <w:pPr>
        <w:pStyle w:val="11"/>
        <w:adjustRightInd w:val="0"/>
        <w:snapToGrid w:val="0"/>
        <w:spacing w:before="0" w:line="440" w:lineRule="exact"/>
        <w:ind w:firstLine="360" w:firstLineChars="150"/>
        <w:jc w:val="left"/>
        <w:rPr>
          <w:sz w:val="24"/>
          <w:szCs w:val="24"/>
        </w:rPr>
      </w:pPr>
      <w:r>
        <w:rPr>
          <w:rFonts w:hint="eastAsia"/>
          <w:sz w:val="24"/>
        </w:rPr>
        <w:t>附件</w:t>
      </w:r>
      <w:r>
        <w:rPr>
          <w:sz w:val="24"/>
        </w:rPr>
        <w:t>2………………………………………………………………</w:t>
      </w:r>
      <w:r>
        <w:rPr>
          <w:rFonts w:hint="eastAsia"/>
          <w:sz w:val="24"/>
        </w:rPr>
        <w:t>27</w:t>
      </w:r>
    </w:p>
    <w:p>
      <w:pPr>
        <w:pStyle w:val="11"/>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r>
        <w:rPr>
          <w:sz w:val="24"/>
        </w:rPr>
        <w:t>…………………………………………………………</w:t>
      </w:r>
      <w:r>
        <w:rPr>
          <w:rFonts w:hint="eastAsia"/>
          <w:sz w:val="24"/>
        </w:rPr>
        <w:t>30</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一、收入支出决算总表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二、收入决算表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三、支出决算表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四、财政拨款收入支出决算总表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六、一般公共预算财政拨款支出决算表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七、一般公共预算财政拨款支出决算明细表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八、一般公共预算财政拨款基本支出决算表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九、一般公共预算财政拨款项目支出决算表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十、一般公共预算财政拨款“三公”经费支出决算表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十一、政府性基金预算财政拨款收入支出决算表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十二、政府性基金预算财政拨款“三公”经费支出决算表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十三、国有资本经营预算财政拨款收入支出决算表</w:t>
      </w:r>
    </w:p>
    <w:p>
      <w:pPr>
        <w:pStyle w:val="12"/>
        <w:adjustRightInd w:val="0"/>
        <w:snapToGrid w:val="0"/>
        <w:spacing w:line="440" w:lineRule="exact"/>
        <w:jc w:val="left"/>
        <w:rPr>
          <w:rFonts w:ascii="仿宋" w:hAnsi="仿宋" w:eastAsia="仿宋"/>
          <w:sz w:val="24"/>
        </w:rPr>
      </w:pPr>
      <w:r>
        <w:rPr>
          <w:rFonts w:hint="eastAsia" w:ascii="仿宋" w:hAnsi="仿宋" w:eastAsia="仿宋"/>
          <w:sz w:val="24"/>
        </w:rPr>
        <w:t>十四、国有资本经营预算财政拨款支出决算表</w:t>
      </w: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pStyle w:val="2"/>
        <w:jc w:val="center"/>
        <w:rPr>
          <w:rStyle w:val="27"/>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27"/>
          <w:rFonts w:hint="eastAsia" w:ascii="黑体" w:hAnsi="黑体" w:eastAsia="黑体"/>
          <w:b w:val="0"/>
          <w:bCs w:val="0"/>
        </w:rPr>
        <w:t>部门概况</w:t>
      </w:r>
    </w:p>
    <w:p>
      <w:pPr>
        <w:widowControl/>
        <w:jc w:val="left"/>
        <w:rPr>
          <w:rFonts w:ascii="黑体" w:eastAsia="黑体"/>
          <w:color w:val="000000"/>
          <w:sz w:val="32"/>
          <w:szCs w:val="32"/>
        </w:rPr>
      </w:pPr>
    </w:p>
    <w:p>
      <w:pPr>
        <w:pStyle w:val="3"/>
        <w:rPr>
          <w:rStyle w:val="18"/>
          <w:rFonts w:ascii="仿宋" w:hAnsi="仿宋" w:eastAsia="仿宋"/>
          <w:b w:val="0"/>
          <w:bCs w:val="0"/>
        </w:rPr>
      </w:pPr>
      <w:r>
        <w:rPr>
          <w:rFonts w:hint="eastAsia" w:ascii="黑体" w:hAnsi="黑体" w:eastAsia="黑体"/>
          <w:b w:val="0"/>
          <w:color w:val="000000"/>
        </w:rPr>
        <w:t>一、基</w:t>
      </w:r>
      <w:r>
        <w:rPr>
          <w:rStyle w:val="18"/>
          <w:rFonts w:hint="eastAsia" w:ascii="黑体" w:hAnsi="黑体" w:eastAsia="黑体"/>
          <w:b w:val="0"/>
          <w:bCs w:val="0"/>
        </w:rPr>
        <w:t>本职能及主要工作</w:t>
      </w:r>
    </w:p>
    <w:p>
      <w:pPr>
        <w:pStyle w:val="6"/>
        <w:adjustRightInd w:val="0"/>
        <w:snapToGrid w:val="0"/>
        <w:spacing w:before="93" w:line="600" w:lineRule="exact"/>
        <w:ind w:firstLine="675" w:firstLineChars="210"/>
        <w:outlineLvl w:val="2"/>
        <w:rPr>
          <w:rFonts w:ascii="仿宋" w:hAnsi="仿宋" w:eastAsia="仿宋"/>
          <w:b/>
          <w:bCs/>
          <w:color w:val="000000"/>
          <w:sz w:val="32"/>
          <w:szCs w:val="32"/>
        </w:rPr>
      </w:pPr>
      <w:bookmarkStart w:id="14" w:name="_Toc15378445"/>
      <w:bookmarkStart w:id="15" w:name="_Toc15377198"/>
      <w:r>
        <w:rPr>
          <w:rFonts w:hint="eastAsia" w:ascii="仿宋" w:hAnsi="仿宋" w:eastAsia="仿宋"/>
          <w:b/>
          <w:bCs/>
          <w:color w:val="000000"/>
          <w:sz w:val="32"/>
          <w:szCs w:val="32"/>
        </w:rPr>
        <w:t>（一）主要职能。</w:t>
      </w:r>
      <w:bookmarkEnd w:id="14"/>
      <w:bookmarkEnd w:id="15"/>
    </w:p>
    <w:p>
      <w:pPr>
        <w:spacing w:line="600" w:lineRule="exact"/>
        <w:ind w:firstLine="640"/>
        <w:jc w:val="left"/>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 xml:space="preserve"> 贯彻落实党中央和省、市委关于水利工程运行保护工作的方针政策和决策部署，在履行职责过程中坚持和加强党对水利工程运行保护工作的集中统一领导。研究制定和组织实施水库运行保护的长远发展规划和年度计划</w:t>
      </w:r>
    </w:p>
    <w:p>
      <w:pPr>
        <w:spacing w:line="554" w:lineRule="exact"/>
        <w:ind w:firstLine="8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 xml:space="preserve"> 按照水利工程管理要求，制定工程的日常管理制度，做好水利工程的检查、观测，建立健全工程技术档案，加强标准化管理。</w:t>
      </w:r>
    </w:p>
    <w:p>
      <w:pPr>
        <w:spacing w:line="554" w:lineRule="exact"/>
        <w:ind w:firstLine="8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 xml:space="preserve"> 监测、检查、养护和维修工程建（构）筑物以及设施设备，保持建（构）筑物以及设施设备完好，确保安全运行；按照水利工程基本建设程序，承担水库枢纽、渠系工程及附属建（构）筑物工程配套改造、更新、新建等工程项目的编制、上报及建设管理工作。</w:t>
      </w:r>
    </w:p>
    <w:p>
      <w:pPr>
        <w:spacing w:line="600" w:lineRule="exact"/>
        <w:ind w:firstLine="640"/>
        <w:jc w:val="left"/>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 xml:space="preserve"> 编制水库调度运行计划和防汛抗旱预案，做好蓄水保水、调度运行、防汛抗旱等工作。</w:t>
      </w:r>
    </w:p>
    <w:p>
      <w:pPr>
        <w:spacing w:line="600" w:lineRule="exact"/>
        <w:ind w:firstLine="640"/>
        <w:jc w:val="left"/>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 xml:space="preserve"> 按照节约用水的有关要求，编制年度用水计划，并按照批准的计划严格用水管理，实行计划供水。</w:t>
      </w:r>
    </w:p>
    <w:p>
      <w:pPr>
        <w:spacing w:line="600" w:lineRule="exact"/>
        <w:ind w:firstLine="640"/>
        <w:jc w:val="left"/>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 xml:space="preserve"> 按照规定计收并管理、使用水费、电费。</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 xml:space="preserve"> 做好区域内水资源保护、水生态建设和水利风景区开发等工作。</w:t>
      </w:r>
    </w:p>
    <w:p>
      <w:pPr>
        <w:spacing w:line="600" w:lineRule="exact"/>
        <w:ind w:firstLine="640"/>
        <w:jc w:val="left"/>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 xml:space="preserve"> 在确保公益目标的前提下，开展综合经营，科学合理开展固定资产的保值、增值工作，提高工程经济效益。</w:t>
      </w:r>
    </w:p>
    <w:p>
      <w:pPr>
        <w:spacing w:line="600" w:lineRule="exact"/>
        <w:ind w:firstLine="640"/>
        <w:jc w:val="left"/>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 xml:space="preserve"> 做好业务培训，做好水利科技创新，维护水上交通安全，推广应用水利先进技术，加强水利信息化建设与管理。</w:t>
      </w:r>
    </w:p>
    <w:p>
      <w:pPr>
        <w:pStyle w:val="6"/>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sz w:val="32"/>
          <w:szCs w:val="32"/>
        </w:rPr>
        <w:t>10.</w:t>
      </w:r>
      <w:r>
        <w:rPr>
          <w:sz w:val="32"/>
          <w:szCs w:val="32"/>
        </w:rPr>
        <w:t xml:space="preserve"> 完成市委、市政府交办的其他事项，接受市水利局对业务工作的指导、协调和监督</w:t>
      </w:r>
    </w:p>
    <w:p>
      <w:pPr>
        <w:pStyle w:val="6"/>
        <w:adjustRightInd w:val="0"/>
        <w:snapToGrid w:val="0"/>
        <w:spacing w:before="93" w:line="600" w:lineRule="exact"/>
        <w:ind w:firstLine="675" w:firstLineChars="210"/>
        <w:outlineLvl w:val="2"/>
        <w:rPr>
          <w:rFonts w:hint="eastAsia" w:ascii="仿宋" w:hAnsi="仿宋" w:eastAsia="仿宋"/>
          <w:b/>
          <w:bCs/>
          <w:color w:val="000000"/>
          <w:sz w:val="32"/>
          <w:szCs w:val="32"/>
        </w:rPr>
      </w:pPr>
      <w:r>
        <w:rPr>
          <w:rFonts w:hint="eastAsia" w:ascii="仿宋" w:hAnsi="仿宋" w:eastAsia="仿宋"/>
          <w:b/>
          <w:bCs/>
          <w:color w:val="000000"/>
          <w:sz w:val="32"/>
          <w:szCs w:val="32"/>
        </w:rPr>
        <w:t>（二）</w:t>
      </w:r>
      <w:r>
        <w:rPr>
          <w:rFonts w:ascii="仿宋" w:hAnsi="仿宋" w:eastAsia="仿宋"/>
          <w:b/>
          <w:bCs/>
          <w:color w:val="000000"/>
          <w:sz w:val="32"/>
          <w:szCs w:val="32"/>
        </w:rPr>
        <w:t>202</w:t>
      </w:r>
      <w:r>
        <w:rPr>
          <w:rFonts w:hint="eastAsia" w:ascii="仿宋" w:hAnsi="仿宋" w:eastAsia="仿宋"/>
          <w:b/>
          <w:bCs/>
          <w:color w:val="000000"/>
          <w:sz w:val="32"/>
          <w:szCs w:val="32"/>
        </w:rPr>
        <w:t>1年重点工作完成情况。</w:t>
      </w:r>
    </w:p>
    <w:p>
      <w:pPr>
        <w:spacing w:line="600" w:lineRule="exact"/>
        <w:ind w:firstLine="640"/>
        <w:jc w:val="left"/>
        <w:rPr>
          <w:rFonts w:ascii="仿宋_GB2312" w:eastAsia="仿宋_GB2312"/>
          <w:sz w:val="32"/>
          <w:szCs w:val="32"/>
        </w:rPr>
      </w:pPr>
      <w:r>
        <w:rPr>
          <w:rFonts w:hint="eastAsia" w:ascii="仿宋_GB2312" w:eastAsia="仿宋_GB2312"/>
          <w:sz w:val="32"/>
          <w:szCs w:val="32"/>
        </w:rPr>
        <w:t>1.投资计划完成情况。全年完成投资1.54亿元，超目标计划2%。争取资金2.06亿元，超目标计划37%。</w:t>
      </w:r>
    </w:p>
    <w:p>
      <w:pPr>
        <w:spacing w:line="600" w:lineRule="exact"/>
        <w:ind w:firstLine="640"/>
        <w:jc w:val="left"/>
        <w:rPr>
          <w:rFonts w:ascii="仿宋_GB2312" w:eastAsia="仿宋_GB2312"/>
          <w:sz w:val="32"/>
          <w:szCs w:val="32"/>
        </w:rPr>
      </w:pPr>
      <w:r>
        <w:rPr>
          <w:rFonts w:hint="eastAsia" w:ascii="仿宋_GB2312" w:eastAsia="仿宋_GB2312"/>
          <w:sz w:val="32"/>
          <w:szCs w:val="32"/>
        </w:rPr>
        <w:t>2.重点工作完成情况。一是水库正式下闸蓄水。2021年6月2日红鱼洞水库通过省水利厅组织导流洞封堵下闸蓄水验收，并正式蓄水。汛期大坝经受住了5次大暴雨考验，累计滞洪1.3亿立方米，削减最大洪峰流量1200立方米每秒，切实减轻了南江沿河沿线防汛压力。二是灌区工程加快推进的。全年掘进隧洞15公里，衬砌7公里。恩阳分干渠如期开工建设。三是征地移民搬迁安置有序推进。库区移民搬迁安置基本完成，2021年3月通过了省扶贫移民局组织的下闸蓄水阶段移民安置验收。</w:t>
      </w:r>
    </w:p>
    <w:p>
      <w:pPr>
        <w:spacing w:line="600" w:lineRule="exact"/>
        <w:ind w:firstLine="640"/>
        <w:jc w:val="left"/>
        <w:rPr>
          <w:rFonts w:ascii="仿宋_GB2312" w:eastAsia="仿宋_GB2312"/>
          <w:sz w:val="32"/>
          <w:szCs w:val="32"/>
        </w:rPr>
      </w:pPr>
      <w:r>
        <w:rPr>
          <w:rFonts w:hint="eastAsia" w:ascii="仿宋_GB2312" w:eastAsia="仿宋_GB2312"/>
          <w:sz w:val="32"/>
          <w:szCs w:val="32"/>
        </w:rPr>
        <w:t>3.主要工作举措。一是坚持党建引领。推动党建向工程一线延伸，抓住党员干部这个关键少数，构建了“一把手盯分管领导、分管领导盯中层干部、项管办盯参建单位”的履责体系。深入推进“以案促改”，从建立健全制度机制入手，突出抓作风、抓整顿、抓监督，着力营造了风清气正的干事创业环境。加强党员教育，将流动党员都纳入了统一管理。二是深化“五比一创”。扎实开展“比质量、比安全、比进度、比规范、比保障，创优质工程”的“五比一创”，实行一周一督查、一月一通报、两月一考评，考评排位第一的授予流动红旗，倒数第一的给予黄牌警示，并将考评结果定期通报到总公司，有效撬动企业担当责任。三是强化监督管理。理顺决策程序，紧盯招标采购、变更索赔、计量支付等关键环节，健全了党组会、主任办公会议事规则，并邀请专家咨询、法律顾问审核把关，杜绝了个人签字表态代替集体决策，形成了人人负责、人人担责的良好局面。坚持以现场管理为核心，实行定岗、定员、定责，推行“工程向前推，管理长一寸，全面建立了合同、支付、变更等管理台账，全面压实工作责任，有效保证工程建设规范实施。</w:t>
      </w:r>
    </w:p>
    <w:bookmarkEnd w:id="12"/>
    <w:bookmarkEnd w:id="13"/>
    <w:p>
      <w:pPr>
        <w:autoSpaceDE w:val="0"/>
        <w:spacing w:line="600" w:lineRule="exact"/>
        <w:ind w:firstLine="640"/>
        <w:jc w:val="left"/>
        <w:rPr>
          <w:rStyle w:val="18"/>
          <w:rFonts w:ascii="黑体" w:hAnsi="黑体" w:eastAsia="黑体"/>
        </w:rPr>
      </w:pPr>
      <w:bookmarkStart w:id="16" w:name="_Toc15396601"/>
      <w:bookmarkStart w:id="17" w:name="_Toc15377200"/>
      <w:r>
        <w:rPr>
          <w:rStyle w:val="18"/>
          <w:rFonts w:hint="eastAsia" w:ascii="黑体" w:hAnsi="黑体" w:eastAsia="黑体"/>
        </w:rPr>
        <w:t>二、机构设置</w:t>
      </w:r>
      <w:bookmarkEnd w:id="16"/>
      <w:bookmarkEnd w:id="17"/>
    </w:p>
    <w:p>
      <w:pPr>
        <w:ind w:firstLine="800" w:firstLineChars="250"/>
        <w:rPr>
          <w:rFonts w:ascii="仿宋" w:hAnsi="仿宋" w:eastAsia="仿宋"/>
          <w:color w:val="000000"/>
          <w:kern w:val="0"/>
          <w:sz w:val="32"/>
          <w:szCs w:val="32"/>
        </w:rPr>
      </w:pPr>
      <w:r>
        <w:rPr>
          <w:rFonts w:hint="eastAsia" w:ascii="仿宋" w:hAnsi="仿宋" w:eastAsia="仿宋"/>
          <w:sz w:val="32"/>
          <w:szCs w:val="32"/>
        </w:rPr>
        <w:t>巴中市红鱼洞水库运行保护中心下属二级单位0个，其中行政单位0个，参照公务员法管理的事业单位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r>
        <w:rPr>
          <w:rFonts w:ascii="仿宋" w:hAnsi="仿宋" w:eastAsia="仿宋"/>
          <w:color w:val="000000"/>
          <w:sz w:val="32"/>
          <w:szCs w:val="32"/>
        </w:rPr>
        <w:br w:type="page"/>
      </w:r>
    </w:p>
    <w:p>
      <w:pPr>
        <w:pStyle w:val="2"/>
        <w:ind w:right="440"/>
        <w:jc w:val="right"/>
        <w:rPr>
          <w:rStyle w:val="27"/>
          <w:rFonts w:ascii="黑体" w:hAnsi="黑体" w:eastAsia="黑体"/>
          <w:b w:val="0"/>
          <w:bCs w:val="0"/>
        </w:rPr>
      </w:pPr>
      <w:bookmarkStart w:id="18" w:name="_Toc15377204"/>
      <w:bookmarkStart w:id="19" w:name="_Toc15396602"/>
      <w:r>
        <w:rPr>
          <w:rFonts w:hint="eastAsia" w:ascii="黑体" w:hAnsi="黑体" w:eastAsia="黑体"/>
          <w:b w:val="0"/>
          <w:color w:val="000000"/>
        </w:rPr>
        <w:t>第二部分</w:t>
      </w:r>
      <w:r>
        <w:rPr>
          <w:rFonts w:ascii="黑体" w:hAnsi="黑体" w:eastAsia="黑体"/>
          <w:color w:val="000000"/>
        </w:rPr>
        <w:t xml:space="preserve"> </w:t>
      </w:r>
      <w:r>
        <w:rPr>
          <w:rStyle w:val="27"/>
          <w:rFonts w:ascii="黑体" w:hAnsi="黑体" w:eastAsia="黑体"/>
          <w:b w:val="0"/>
          <w:bCs w:val="0"/>
        </w:rPr>
        <w:t>202</w:t>
      </w:r>
      <w:r>
        <w:rPr>
          <w:rStyle w:val="27"/>
          <w:rFonts w:hint="eastAsia" w:ascii="黑体" w:hAnsi="黑体" w:eastAsia="黑体"/>
          <w:b w:val="0"/>
          <w:bCs w:val="0"/>
        </w:rPr>
        <w:t>1年度部门决算情况说明</w:t>
      </w:r>
      <w:bookmarkEnd w:id="18"/>
      <w:bookmarkEnd w:id="19"/>
    </w:p>
    <w:p/>
    <w:p>
      <w:pPr>
        <w:pStyle w:val="33"/>
        <w:numPr>
          <w:ilvl w:val="0"/>
          <w:numId w:val="1"/>
        </w:numPr>
        <w:spacing w:line="600" w:lineRule="exact"/>
        <w:ind w:firstLineChars="0"/>
        <w:outlineLvl w:val="1"/>
        <w:rPr>
          <w:rStyle w:val="18"/>
          <w:rFonts w:ascii="黑体" w:hAnsi="黑体" w:eastAsia="黑体"/>
          <w:b w:val="0"/>
        </w:rPr>
      </w:pPr>
      <w:bookmarkStart w:id="20" w:name="_Toc15377205"/>
      <w:bookmarkStart w:id="21" w:name="_Toc15396603"/>
      <w:r>
        <w:rPr>
          <w:rFonts w:hint="eastAsia" w:ascii="黑体" w:hAnsi="黑体" w:eastAsia="黑体"/>
          <w:color w:val="000000"/>
          <w:sz w:val="32"/>
          <w:szCs w:val="32"/>
        </w:rPr>
        <w:t>收</w:t>
      </w:r>
      <w:r>
        <w:rPr>
          <w:rStyle w:val="18"/>
          <w:rFonts w:hint="eastAsia" w:ascii="黑体" w:hAnsi="黑体" w:eastAsia="黑体"/>
          <w:b w:val="0"/>
        </w:rPr>
        <w:t>入支出决算总体情况说明</w:t>
      </w:r>
      <w:bookmarkEnd w:id="20"/>
      <w:bookmarkEnd w:id="2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1年度收、支总计21163.59万元。与2020年相比，收、支总计各增加13554.36万元，增加178</w:t>
      </w:r>
      <w:r>
        <w:rPr>
          <w:rFonts w:ascii="仿宋" w:hAnsi="仿宋" w:eastAsia="仿宋"/>
          <w:color w:val="000000"/>
          <w:sz w:val="32"/>
          <w:szCs w:val="32"/>
        </w:rPr>
        <w:t>%</w:t>
      </w:r>
      <w:r>
        <w:rPr>
          <w:rFonts w:hint="eastAsia" w:ascii="仿宋" w:hAnsi="仿宋" w:eastAsia="仿宋"/>
          <w:color w:val="000000"/>
          <w:sz w:val="32"/>
          <w:szCs w:val="32"/>
        </w:rPr>
        <w:t>。主要变动原因是工程建设后续标段开工，收入和支出增加。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drawing>
          <wp:inline distT="0" distB="0" distL="0" distR="0">
            <wp:extent cx="5274310" cy="3076575"/>
            <wp:effectExtent l="0" t="0" r="254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6"/>
        <w:numPr>
          <w:ilvl w:val="0"/>
          <w:numId w:val="1"/>
        </w:numPr>
        <w:spacing w:line="600" w:lineRule="exact"/>
        <w:ind w:firstLineChars="0"/>
        <w:outlineLvl w:val="1"/>
        <w:rPr>
          <w:rStyle w:val="18"/>
          <w:rFonts w:ascii="黑体" w:hAnsi="黑体" w:eastAsia="黑体"/>
          <w:b w:val="0"/>
        </w:rPr>
      </w:pPr>
      <w:bookmarkStart w:id="22" w:name="_Toc15396604"/>
      <w:bookmarkStart w:id="23" w:name="_Toc15377206"/>
      <w:r>
        <w:rPr>
          <w:rFonts w:hint="eastAsia" w:ascii="黑体" w:hAnsi="黑体" w:eastAsia="黑体"/>
          <w:color w:val="000000"/>
          <w:sz w:val="32"/>
          <w:szCs w:val="32"/>
        </w:rPr>
        <w:t>收</w:t>
      </w:r>
      <w:r>
        <w:rPr>
          <w:rStyle w:val="18"/>
          <w:rFonts w:hint="eastAsia" w:ascii="黑体" w:hAnsi="黑体" w:eastAsia="黑体"/>
          <w:b w:val="0"/>
        </w:rPr>
        <w:t>入决算情况说明</w:t>
      </w:r>
      <w:bookmarkEnd w:id="22"/>
      <w:bookmarkEnd w:id="23"/>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t>2021年本年收入合计21163.59万元，其中：一般公共预算财政拨款收入2863.59万元，占13.5</w:t>
      </w:r>
      <w:r>
        <w:rPr>
          <w:rFonts w:ascii="仿宋" w:hAnsi="仿宋" w:eastAsia="仿宋"/>
          <w:color w:val="000000"/>
          <w:sz w:val="32"/>
          <w:szCs w:val="32"/>
        </w:rPr>
        <w:t>%</w:t>
      </w:r>
      <w:r>
        <w:rPr>
          <w:rFonts w:hint="eastAsia" w:ascii="仿宋" w:hAnsi="仿宋" w:eastAsia="仿宋"/>
          <w:color w:val="000000"/>
          <w:sz w:val="32"/>
          <w:szCs w:val="32"/>
        </w:rPr>
        <w:t>；政府性基金预算财政拨款收入18300万元，占86.5</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drawing>
          <wp:inline distT="0" distB="0" distL="0" distR="0">
            <wp:extent cx="5274310" cy="3076575"/>
            <wp:effectExtent l="0" t="0" r="254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pStyle w:val="26"/>
        <w:numPr>
          <w:ilvl w:val="0"/>
          <w:numId w:val="1"/>
        </w:numPr>
        <w:spacing w:line="600" w:lineRule="exact"/>
        <w:ind w:firstLineChars="0"/>
        <w:outlineLvl w:val="1"/>
        <w:rPr>
          <w:rStyle w:val="18"/>
          <w:rFonts w:ascii="黑体" w:hAnsi="黑体" w:eastAsia="黑体"/>
          <w:b w:val="0"/>
        </w:rPr>
      </w:pPr>
      <w:bookmarkStart w:id="24" w:name="_Toc15377207"/>
      <w:bookmarkStart w:id="25" w:name="_Toc15396605"/>
      <w:r>
        <w:rPr>
          <w:rFonts w:hint="eastAsia" w:ascii="黑体" w:hAnsi="黑体" w:eastAsia="黑体"/>
          <w:color w:val="000000"/>
          <w:sz w:val="32"/>
          <w:szCs w:val="32"/>
        </w:rPr>
        <w:t>支</w:t>
      </w:r>
      <w:r>
        <w:rPr>
          <w:rStyle w:val="18"/>
          <w:rFonts w:hint="eastAsia" w:ascii="黑体" w:hAnsi="黑体" w:eastAsia="黑体"/>
          <w:b w:val="0"/>
        </w:rPr>
        <w:t>出决算情况说明</w:t>
      </w:r>
      <w:bookmarkEnd w:id="24"/>
      <w:bookmarkEnd w:id="25"/>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2021年本年支出合计21163.59万元，其中：基本支出563.59万元，占2.7</w:t>
      </w:r>
      <w:r>
        <w:rPr>
          <w:rFonts w:ascii="仿宋" w:hAnsi="仿宋" w:eastAsia="仿宋"/>
          <w:color w:val="000000"/>
          <w:sz w:val="32"/>
          <w:szCs w:val="32"/>
        </w:rPr>
        <w:t>%</w:t>
      </w:r>
      <w:r>
        <w:rPr>
          <w:rFonts w:hint="eastAsia" w:ascii="仿宋" w:hAnsi="仿宋" w:eastAsia="仿宋"/>
          <w:color w:val="000000"/>
          <w:sz w:val="32"/>
          <w:szCs w:val="32"/>
        </w:rPr>
        <w:t>；项目支出20600万元，占97.3</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ind w:firstLine="641"/>
        <w:rPr>
          <w:rFonts w:ascii="仿宋" w:hAnsi="仿宋" w:eastAsia="仿宋"/>
          <w:color w:val="000000"/>
          <w:sz w:val="32"/>
          <w:szCs w:val="32"/>
        </w:rPr>
      </w:pPr>
      <w:r>
        <w:rPr>
          <w:rFonts w:hint="eastAsia" w:ascii="仿宋" w:hAnsi="仿宋" w:eastAsia="仿宋"/>
          <w:color w:val="000000"/>
          <w:sz w:val="32"/>
          <w:szCs w:val="32"/>
        </w:rPr>
        <w:drawing>
          <wp:inline distT="0" distB="0" distL="0" distR="0">
            <wp:extent cx="5274310" cy="3076575"/>
            <wp:effectExtent l="0" t="0" r="254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outlineLvl w:val="1"/>
        <w:rPr>
          <w:rStyle w:val="18"/>
          <w:rFonts w:ascii="黑体" w:hAnsi="黑体" w:eastAsia="黑体"/>
          <w:b w:val="0"/>
        </w:rPr>
      </w:pPr>
      <w:bookmarkStart w:id="26" w:name="_Toc15396606"/>
      <w:bookmarkStart w:id="27" w:name="_Toc15377208"/>
      <w:r>
        <w:rPr>
          <w:rFonts w:hint="eastAsia" w:ascii="黑体" w:hAnsi="黑体" w:eastAsia="黑体"/>
          <w:color w:val="000000"/>
          <w:sz w:val="32"/>
          <w:szCs w:val="32"/>
        </w:rPr>
        <w:t>四、财</w:t>
      </w:r>
      <w:r>
        <w:rPr>
          <w:rStyle w:val="18"/>
          <w:rFonts w:hint="eastAsia" w:ascii="黑体" w:hAnsi="黑体" w:eastAsia="黑体"/>
          <w:b w:val="0"/>
        </w:rPr>
        <w:t>政拨款收入支出决算总体情况说明</w:t>
      </w:r>
      <w:bookmarkEnd w:id="26"/>
      <w:bookmarkEnd w:id="27"/>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2021年财政拨款收入总计21163.59万元，支出总计21163.59万元。与2020年相比，增加13554.36万元，增加178</w:t>
      </w:r>
      <w:r>
        <w:rPr>
          <w:rFonts w:ascii="仿宋" w:hAnsi="仿宋" w:eastAsia="仿宋"/>
          <w:color w:val="000000"/>
          <w:sz w:val="32"/>
          <w:szCs w:val="32"/>
        </w:rPr>
        <w:t>%</w:t>
      </w:r>
      <w:r>
        <w:rPr>
          <w:rFonts w:hint="eastAsia" w:ascii="仿宋" w:hAnsi="仿宋" w:eastAsia="仿宋"/>
          <w:color w:val="000000"/>
          <w:sz w:val="32"/>
          <w:szCs w:val="32"/>
        </w:rPr>
        <w:t>。主要变动原因是工程建设后续标段开工，收入和支出增加。</w:t>
      </w:r>
    </w:p>
    <w:p>
      <w:pPr>
        <w:ind w:firstLine="640" w:firstLineChars="200"/>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0" t="0" r="254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themeColor="text1"/>
          <w:sz w:val="32"/>
          <w:szCs w:val="32"/>
        </w:rPr>
        <w:t>（除国有资本经营预算外，数据来源于财决</w:t>
      </w:r>
      <w:r>
        <w:rPr>
          <w:rFonts w:ascii="仿宋" w:hAnsi="仿宋" w:eastAsia="仿宋"/>
          <w:b/>
          <w:color w:val="000000" w:themeColor="text1"/>
          <w:sz w:val="32"/>
          <w:szCs w:val="32"/>
        </w:rPr>
        <w:t>Z01-1</w:t>
      </w:r>
      <w:r>
        <w:rPr>
          <w:rFonts w:hint="eastAsia" w:ascii="仿宋" w:hAnsi="仿宋" w:eastAsia="仿宋"/>
          <w:b/>
          <w:color w:val="000000" w:themeColor="text1"/>
          <w:sz w:val="32"/>
          <w:szCs w:val="32"/>
        </w:rPr>
        <w:t>表，口径为“总计”数+国有资本经营预算。）</w:t>
      </w:r>
    </w:p>
    <w:p>
      <w:pPr>
        <w:spacing w:line="600" w:lineRule="exact"/>
        <w:ind w:firstLine="640" w:firstLineChars="200"/>
        <w:outlineLvl w:val="1"/>
        <w:rPr>
          <w:rStyle w:val="18"/>
          <w:rFonts w:ascii="黑体" w:hAnsi="黑体" w:eastAsia="黑体"/>
          <w:b w:val="0"/>
        </w:rPr>
      </w:pPr>
      <w:bookmarkStart w:id="28" w:name="_Toc15377209"/>
      <w:bookmarkStart w:id="29"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2021年一般公共预算财政拨款支出2863.59万元，占本年支出合计的13.5</w:t>
      </w:r>
      <w:r>
        <w:rPr>
          <w:rFonts w:ascii="仿宋" w:hAnsi="仿宋" w:eastAsia="仿宋"/>
          <w:color w:val="000000"/>
          <w:sz w:val="32"/>
          <w:szCs w:val="32"/>
        </w:rPr>
        <w:t>%</w:t>
      </w:r>
      <w:r>
        <w:rPr>
          <w:rFonts w:hint="eastAsia" w:ascii="仿宋" w:hAnsi="仿宋" w:eastAsia="仿宋"/>
          <w:color w:val="000000"/>
          <w:sz w:val="32"/>
          <w:szCs w:val="32"/>
        </w:rPr>
        <w:t>。与2020年相比，一般公共预算财政拨款减少945.64万元，下降25</w:t>
      </w:r>
      <w:r>
        <w:rPr>
          <w:rFonts w:ascii="仿宋" w:hAnsi="仿宋" w:eastAsia="仿宋"/>
          <w:color w:val="000000"/>
          <w:sz w:val="32"/>
          <w:szCs w:val="32"/>
        </w:rPr>
        <w:t>%</w:t>
      </w:r>
      <w:r>
        <w:rPr>
          <w:rFonts w:hint="eastAsia" w:ascii="仿宋" w:hAnsi="仿宋" w:eastAsia="仿宋"/>
          <w:color w:val="000000"/>
          <w:sz w:val="32"/>
          <w:szCs w:val="32"/>
        </w:rPr>
        <w:t>。主要变动原因工程建设进度形成。</w:t>
      </w: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r>
        <w:rPr>
          <w:rFonts w:hint="eastAsia" w:ascii="仿宋" w:hAnsi="仿宋" w:eastAsia="仿宋"/>
          <w:color w:val="000000"/>
          <w:sz w:val="32"/>
          <w:szCs w:val="32"/>
        </w:rPr>
        <w:drawing>
          <wp:inline distT="0" distB="0" distL="0" distR="0">
            <wp:extent cx="5274310" cy="3076575"/>
            <wp:effectExtent l="0" t="0" r="254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1" w:name="_Toc15377211"/>
      <w:r>
        <w:rPr>
          <w:rFonts w:hint="eastAsia" w:ascii="仿宋" w:hAnsi="仿宋" w:eastAsia="仿宋"/>
          <w:b/>
          <w:color w:val="000000"/>
          <w:sz w:val="32"/>
          <w:szCs w:val="32"/>
        </w:rPr>
        <w:t>（二）一般公共预算财政拨款支出决算结构情况</w:t>
      </w:r>
      <w:bookmarkEnd w:id="31"/>
    </w:p>
    <w:p>
      <w:pPr>
        <w:spacing w:line="600" w:lineRule="exact"/>
        <w:ind w:firstLine="640"/>
        <w:rPr>
          <w:rFonts w:ascii="仿宋" w:hAnsi="仿宋" w:eastAsia="仿宋"/>
          <w:color w:val="000000" w:themeColor="text1"/>
          <w:sz w:val="32"/>
          <w:szCs w:val="32"/>
        </w:rPr>
      </w:pPr>
      <w:r>
        <w:rPr>
          <w:rFonts w:hint="eastAsia" w:ascii="仿宋" w:hAnsi="仿宋" w:eastAsia="仿宋"/>
          <w:color w:val="000000"/>
          <w:sz w:val="32"/>
          <w:szCs w:val="32"/>
        </w:rPr>
        <w:t>2021年一般公共预算财</w:t>
      </w:r>
      <w:r>
        <w:rPr>
          <w:rFonts w:hint="eastAsia" w:ascii="仿宋" w:hAnsi="仿宋" w:eastAsia="仿宋"/>
          <w:color w:val="000000" w:themeColor="text1"/>
          <w:sz w:val="32"/>
          <w:szCs w:val="32"/>
        </w:rPr>
        <w:t>政拨款支出2863.59万元，主要用于以下方面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社会保障和就业</w:t>
      </w:r>
      <w:r>
        <w:rPr>
          <w:rFonts w:hint="eastAsia" w:ascii="仿宋" w:hAnsi="仿宋" w:eastAsia="仿宋"/>
          <w:color w:val="000000" w:themeColor="text1"/>
          <w:sz w:val="32"/>
          <w:szCs w:val="32"/>
        </w:rPr>
        <w:t>支出49.38万元，占1.72</w:t>
      </w:r>
      <w:r>
        <w:rPr>
          <w:rFonts w:ascii="仿宋" w:hAnsi="仿宋" w:eastAsia="仿宋"/>
          <w:color w:val="000000" w:themeColor="text1"/>
          <w:sz w:val="32"/>
          <w:szCs w:val="32"/>
        </w:rPr>
        <w:t>%</w:t>
      </w:r>
      <w:r>
        <w:rPr>
          <w:rFonts w:hint="eastAsia" w:ascii="仿宋" w:hAnsi="仿宋" w:eastAsia="仿宋"/>
          <w:color w:val="000000" w:themeColor="text1"/>
          <w:sz w:val="32"/>
          <w:szCs w:val="32"/>
        </w:rPr>
        <w:t>；卫生健康支出26.21万元，占0.92</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；住房保障支出32.06万元，占1.12</w:t>
      </w:r>
      <w:r>
        <w:rPr>
          <w:rFonts w:ascii="仿宋" w:hAnsi="仿宋" w:eastAsia="仿宋"/>
          <w:color w:val="000000" w:themeColor="text1"/>
          <w:sz w:val="32"/>
          <w:szCs w:val="32"/>
        </w:rPr>
        <w:t>%</w:t>
      </w:r>
      <w:r>
        <w:rPr>
          <w:rFonts w:hint="eastAsia" w:ascii="仿宋" w:hAnsi="仿宋" w:eastAsia="仿宋"/>
          <w:color w:val="000000" w:themeColor="text1"/>
          <w:sz w:val="32"/>
          <w:szCs w:val="32"/>
        </w:rPr>
        <w:t>；农林水支出2755.94万元，占96.24%。</w:t>
      </w:r>
      <w:r>
        <w:rPr>
          <w:rFonts w:hint="eastAsia" w:ascii="仿宋" w:hAnsi="仿宋" w:eastAsia="仿宋"/>
          <w:b/>
          <w:color w:val="000000" w:themeColor="text1"/>
          <w:sz w:val="32"/>
          <w:szCs w:val="32"/>
        </w:rPr>
        <w:t>（罗列全部功能分类科目，至类级。）</w:t>
      </w:r>
    </w:p>
    <w:p>
      <w:pPr>
        <w:ind w:firstLine="641"/>
        <w:rPr>
          <w:rFonts w:ascii="仿宋" w:hAnsi="仿宋" w:eastAsia="仿宋"/>
          <w:color w:val="000000"/>
          <w:sz w:val="32"/>
          <w:szCs w:val="32"/>
        </w:rPr>
      </w:pPr>
      <w:r>
        <w:rPr>
          <w:rFonts w:hint="eastAsia" w:ascii="仿宋" w:hAnsi="仿宋" w:eastAsia="仿宋"/>
          <w:color w:val="000000"/>
          <w:sz w:val="32"/>
          <w:szCs w:val="32"/>
        </w:rPr>
        <w:drawing>
          <wp:inline distT="0" distB="0" distL="0" distR="0">
            <wp:extent cx="5274310" cy="3076575"/>
            <wp:effectExtent l="0" t="0" r="254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2" w:name="_Toc15377212"/>
      <w:r>
        <w:rPr>
          <w:rFonts w:hint="eastAsia" w:ascii="仿宋" w:hAnsi="仿宋" w:eastAsia="仿宋"/>
          <w:b/>
          <w:color w:val="000000"/>
          <w:sz w:val="32"/>
          <w:szCs w:val="32"/>
        </w:rPr>
        <w:t>（三）一般公共预算财政拨款支出决算具体情况</w:t>
      </w:r>
      <w:bookmarkEnd w:id="32"/>
    </w:p>
    <w:p>
      <w:pPr>
        <w:spacing w:line="600" w:lineRule="exact"/>
        <w:ind w:firstLine="643" w:firstLineChars="200"/>
        <w:outlineLvl w:val="2"/>
        <w:rPr>
          <w:rFonts w:ascii="仿宋" w:hAnsi="仿宋" w:eastAsia="仿宋"/>
          <w:color w:val="FF0000"/>
          <w:sz w:val="32"/>
          <w:szCs w:val="32"/>
        </w:rPr>
      </w:pPr>
      <w:bookmarkStart w:id="33" w:name="_Toc15378460"/>
      <w:bookmarkStart w:id="34" w:name="_Toc15377444"/>
      <w:bookmarkStart w:id="35" w:name="_Toc15377213"/>
      <w:r>
        <w:rPr>
          <w:rFonts w:hint="eastAsia" w:ascii="仿宋" w:hAnsi="仿宋" w:eastAsia="仿宋"/>
          <w:b/>
          <w:color w:val="000000" w:themeColor="text1"/>
          <w:sz w:val="32"/>
          <w:szCs w:val="32"/>
        </w:rPr>
        <w:t>2021年一般公共预算支出决算数为2863.59万元</w:t>
      </w:r>
      <w:r>
        <w:rPr>
          <w:rFonts w:hint="eastAsia" w:ascii="仿宋" w:hAnsi="仿宋" w:eastAsia="仿宋"/>
          <w:color w:val="000000" w:themeColor="text1"/>
          <w:sz w:val="32"/>
          <w:szCs w:val="32"/>
        </w:rPr>
        <w:t>，</w:t>
      </w:r>
      <w:r>
        <w:rPr>
          <w:rStyle w:val="16"/>
          <w:rFonts w:hint="eastAsia" w:ascii="仿宋" w:hAnsi="仿宋" w:eastAsia="仿宋"/>
          <w:bCs/>
          <w:color w:val="000000" w:themeColor="text1"/>
          <w:sz w:val="32"/>
          <w:szCs w:val="32"/>
        </w:rPr>
        <w:t>完成</w:t>
      </w:r>
      <w:r>
        <w:rPr>
          <w:rStyle w:val="16"/>
          <w:rFonts w:hint="eastAsia" w:ascii="仿宋" w:hAnsi="仿宋" w:eastAsia="仿宋"/>
          <w:bCs/>
          <w:color w:val="000000"/>
          <w:sz w:val="32"/>
          <w:szCs w:val="32"/>
        </w:rPr>
        <w:t>预算100</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33"/>
      <w:bookmarkEnd w:id="34"/>
      <w:bookmarkEnd w:id="35"/>
    </w:p>
    <w:p>
      <w:pPr>
        <w:spacing w:line="600" w:lineRule="exact"/>
        <w:ind w:firstLine="640" w:firstLineChars="200"/>
        <w:rPr>
          <w:rStyle w:val="16"/>
          <w:rFonts w:ascii="仿宋" w:hAnsi="仿宋" w:eastAsia="仿宋"/>
          <w:b w:val="0"/>
          <w:bCs/>
          <w:sz w:val="32"/>
          <w:szCs w:val="32"/>
        </w:rPr>
      </w:pPr>
      <w:r>
        <w:rPr>
          <w:rStyle w:val="16"/>
          <w:rFonts w:hint="eastAsia" w:ascii="仿宋" w:hAnsi="仿宋" w:eastAsia="仿宋"/>
          <w:b w:val="0"/>
          <w:bCs/>
          <w:sz w:val="32"/>
          <w:szCs w:val="32"/>
        </w:rPr>
        <w:t>1</w:t>
      </w:r>
      <w:r>
        <w:rPr>
          <w:rStyle w:val="16"/>
          <w:rFonts w:ascii="仿宋" w:hAnsi="仿宋" w:eastAsia="仿宋"/>
          <w:b w:val="0"/>
          <w:bCs/>
          <w:sz w:val="32"/>
          <w:szCs w:val="32"/>
        </w:rPr>
        <w:t>.</w:t>
      </w:r>
      <w:r>
        <w:rPr>
          <w:rStyle w:val="16"/>
          <w:rFonts w:hint="eastAsia" w:ascii="仿宋" w:hAnsi="仿宋" w:eastAsia="仿宋"/>
          <w:b w:val="0"/>
          <w:bCs/>
          <w:sz w:val="32"/>
          <w:szCs w:val="32"/>
        </w:rPr>
        <w:t>社会保障和就业支出决算数为49.38万元，完成预算100%。其中：行政事业单位养老支出46.6万元（其中：机关事业单位基本养老保险缴费支出45.15万元，机关事业单位职业年金缴费1.45万元），财政对其他社会保险基金的补助支出2.78万元。</w:t>
      </w:r>
    </w:p>
    <w:p>
      <w:pPr>
        <w:spacing w:line="600" w:lineRule="exact"/>
        <w:ind w:firstLine="643" w:firstLineChars="200"/>
        <w:rPr>
          <w:rFonts w:ascii="仿宋" w:hAnsi="仿宋" w:eastAsia="仿宋"/>
          <w:color w:val="000000"/>
          <w:sz w:val="32"/>
          <w:szCs w:val="32"/>
        </w:rPr>
      </w:pPr>
      <w:r>
        <w:rPr>
          <w:rStyle w:val="16"/>
          <w:rFonts w:hint="eastAsia" w:ascii="仿宋" w:hAnsi="仿宋" w:eastAsia="仿宋"/>
          <w:bCs/>
          <w:color w:val="000000"/>
          <w:sz w:val="32"/>
          <w:szCs w:val="32"/>
        </w:rPr>
        <w:t>2</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卫生健康</w:t>
      </w:r>
      <w:r>
        <w:rPr>
          <w:rStyle w:val="16"/>
          <w:rFonts w:hint="eastAsia" w:ascii="仿宋" w:hAnsi="仿宋" w:eastAsia="仿宋"/>
          <w:b w:val="0"/>
          <w:bCs/>
          <w:color w:val="000000"/>
          <w:sz w:val="32"/>
          <w:szCs w:val="32"/>
        </w:rPr>
        <w:t>支出决算为26.21万元，完成预算100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0" w:firstLineChars="200"/>
        <w:rPr>
          <w:rStyle w:val="16"/>
          <w:rFonts w:ascii="仿宋" w:hAnsi="仿宋" w:eastAsia="仿宋"/>
          <w:b w:val="0"/>
          <w:color w:val="000000"/>
          <w:sz w:val="32"/>
          <w:szCs w:val="32"/>
        </w:rPr>
      </w:pPr>
      <w:r>
        <w:rPr>
          <w:rFonts w:hint="eastAsia" w:ascii="仿宋" w:hAnsi="仿宋" w:eastAsia="仿宋"/>
          <w:color w:val="000000"/>
          <w:sz w:val="32"/>
          <w:szCs w:val="32"/>
        </w:rPr>
        <w:t>3.农林水支出2755.94万元，完成预算100%，其中：</w:t>
      </w:r>
      <w:r>
        <w:rPr>
          <w:rFonts w:hint="eastAsia" w:ascii="仿宋" w:hAnsi="仿宋" w:eastAsia="仿宋"/>
          <w:color w:val="000000"/>
          <w:sz w:val="32"/>
          <w:szCs w:val="32"/>
          <w:lang w:eastAsia="zh-CN"/>
        </w:rPr>
        <w:t>水利</w:t>
      </w:r>
      <w:r>
        <w:rPr>
          <w:rFonts w:hint="eastAsia" w:ascii="仿宋" w:hAnsi="仿宋" w:eastAsia="仿宋"/>
          <w:color w:val="000000"/>
          <w:sz w:val="32"/>
          <w:szCs w:val="32"/>
        </w:rPr>
        <w:t>行业业务管理支出455.94万元，水利工程建设支出2300万元。</w:t>
      </w:r>
    </w:p>
    <w:p>
      <w:pPr>
        <w:spacing w:line="600" w:lineRule="exact"/>
        <w:ind w:firstLine="640"/>
        <w:rPr>
          <w:rFonts w:ascii="仿宋" w:hAnsi="仿宋" w:eastAsia="仿宋"/>
          <w:b/>
          <w:color w:val="000000"/>
          <w:sz w:val="32"/>
          <w:szCs w:val="32"/>
        </w:rPr>
      </w:pPr>
      <w:r>
        <w:rPr>
          <w:rStyle w:val="16"/>
          <w:rFonts w:hint="eastAsia" w:ascii="仿宋" w:hAnsi="仿宋" w:eastAsia="仿宋"/>
          <w:b w:val="0"/>
          <w:bCs/>
          <w:color w:val="000000"/>
          <w:sz w:val="32"/>
          <w:szCs w:val="32"/>
        </w:rPr>
        <w:t>4.住房保障支出32.06万元，完成预算100%。</w:t>
      </w:r>
      <w:r>
        <w:rPr>
          <w:rFonts w:hint="eastAsia" w:ascii="仿宋" w:hAnsi="仿宋" w:eastAsia="仿宋"/>
          <w:b/>
          <w:color w:val="000000"/>
          <w:sz w:val="32"/>
          <w:szCs w:val="32"/>
        </w:rPr>
        <w:t>（罗列全部功能分类科目至项级。上述“预算”口径为调整预算数。增减变动原因为决算数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tabs>
          <w:tab w:val="right" w:pos="8306"/>
        </w:tabs>
        <w:spacing w:line="600" w:lineRule="exact"/>
        <w:ind w:firstLine="640"/>
        <w:outlineLvl w:val="1"/>
        <w:rPr>
          <w:rStyle w:val="18"/>
        </w:rPr>
      </w:pPr>
      <w:bookmarkStart w:id="36" w:name="_Toc15377214"/>
      <w:bookmarkStart w:id="37"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般公共预算财政拨款基本支出决算情况说明</w:t>
      </w:r>
      <w:bookmarkEnd w:id="36"/>
      <w:bookmarkEnd w:id="37"/>
      <w:r>
        <w:rPr>
          <w:rStyle w:val="18"/>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2021年一般公共预算财政拨款基本支出563.59万元，其中：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511.16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52.43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8"/>
          <w:rFonts w:ascii="黑体" w:hAnsi="黑体" w:eastAsia="黑体"/>
          <w:b w:val="0"/>
        </w:rPr>
      </w:pPr>
      <w:bookmarkStart w:id="38" w:name="_Toc15396609"/>
      <w:bookmarkStart w:id="39" w:name="_Toc15377215"/>
      <w:r>
        <w:rPr>
          <w:rFonts w:hint="eastAsia" w:ascii="黑体" w:eastAsia="黑体"/>
          <w:color w:val="000000"/>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color w:val="000000"/>
          <w:sz w:val="32"/>
          <w:szCs w:val="32"/>
        </w:rPr>
      </w:pPr>
      <w:bookmarkStart w:id="40" w:name="_Toc15377216"/>
      <w:r>
        <w:rPr>
          <w:rFonts w:hint="eastAsia" w:ascii="仿宋" w:hAnsi="仿宋" w:eastAsia="仿宋"/>
          <w:b/>
          <w:color w:val="000000"/>
          <w:sz w:val="32"/>
          <w:szCs w:val="32"/>
        </w:rPr>
        <w:t>（一）“三公”经费财政拨款支出决算总体情况说明</w:t>
      </w:r>
      <w:bookmarkEnd w:id="40"/>
    </w:p>
    <w:p>
      <w:pPr>
        <w:spacing w:line="600" w:lineRule="exact"/>
        <w:ind w:firstLine="640"/>
        <w:rPr>
          <w:rFonts w:ascii="仿宋" w:hAnsi="仿宋" w:eastAsia="仿宋"/>
          <w:sz w:val="32"/>
          <w:szCs w:val="32"/>
        </w:rPr>
      </w:pPr>
      <w:r>
        <w:rPr>
          <w:rFonts w:hint="eastAsia" w:ascii="仿宋" w:hAnsi="仿宋" w:eastAsia="仿宋"/>
          <w:sz w:val="32"/>
          <w:szCs w:val="32"/>
        </w:rPr>
        <w:t>2021“三公”经费财政拨款支出决算为3.47万元，完成预算100</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1" w:name="_Toc15377217"/>
      <w:r>
        <w:rPr>
          <w:rFonts w:hint="eastAsia" w:ascii="仿宋" w:hAnsi="仿宋" w:eastAsia="仿宋"/>
          <w:b/>
          <w:sz w:val="32"/>
          <w:szCs w:val="32"/>
        </w:rPr>
        <w:t>（二）“</w:t>
      </w:r>
      <w:r>
        <w:rPr>
          <w:rFonts w:hint="eastAsia" w:ascii="仿宋" w:hAnsi="仿宋" w:eastAsia="仿宋"/>
          <w:b/>
          <w:color w:val="000000"/>
          <w:sz w:val="32"/>
          <w:szCs w:val="32"/>
        </w:rPr>
        <w:t>三公”经费财政拨款支出决算具体情况说明</w:t>
      </w:r>
      <w:bookmarkEnd w:id="41"/>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2021年“三公”经费财政拨款支出决算中，因公出国（境）费支出决算0万元，占0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；公务用车购置及运行维护费支出决算2.27万元，占65</w:t>
      </w:r>
      <w:r>
        <w:rPr>
          <w:rFonts w:ascii="仿宋" w:hAnsi="仿宋" w:eastAsia="仿宋"/>
          <w:color w:val="000000"/>
          <w:sz w:val="32"/>
          <w:szCs w:val="32"/>
        </w:rPr>
        <w:t>%</w:t>
      </w:r>
      <w:r>
        <w:rPr>
          <w:rFonts w:hint="eastAsia" w:ascii="仿宋" w:hAnsi="仿宋" w:eastAsia="仿宋"/>
          <w:color w:val="000000"/>
          <w:sz w:val="32"/>
          <w:szCs w:val="32"/>
        </w:rPr>
        <w:t>；公务接待费支出决算1.2万元，占35</w:t>
      </w:r>
      <w:r>
        <w:rPr>
          <w:rFonts w:ascii="仿宋" w:hAnsi="仿宋" w:eastAsia="仿宋"/>
          <w:color w:val="000000"/>
          <w:sz w:val="32"/>
          <w:szCs w:val="32"/>
        </w:rPr>
        <w:t>%</w:t>
      </w:r>
      <w:r>
        <w:rPr>
          <w:rFonts w:hint="eastAsia" w:ascii="仿宋" w:hAnsi="仿宋" w:eastAsia="仿宋"/>
          <w:color w:val="000000"/>
          <w:sz w:val="32"/>
          <w:szCs w:val="32"/>
        </w:rPr>
        <w:t>。具体情况如下：</w:t>
      </w:r>
    </w:p>
    <w:p>
      <w:pPr>
        <w:ind w:firstLine="641"/>
        <w:rPr>
          <w:rFonts w:ascii="仿宋" w:hAnsi="仿宋" w:eastAsia="仿宋"/>
          <w:color w:val="000000"/>
          <w:sz w:val="32"/>
          <w:szCs w:val="32"/>
        </w:rPr>
      </w:pPr>
    </w:p>
    <w:p>
      <w:pPr>
        <w:ind w:firstLine="641"/>
        <w:rPr>
          <w:rFonts w:ascii="仿宋" w:hAnsi="仿宋" w:eastAsia="仿宋"/>
          <w:color w:val="000000"/>
          <w:sz w:val="32"/>
          <w:szCs w:val="32"/>
        </w:rPr>
      </w:pPr>
      <w:r>
        <w:rPr>
          <w:rFonts w:hint="eastAsia" w:ascii="仿宋" w:hAnsi="仿宋" w:eastAsia="仿宋"/>
          <w:color w:val="000000"/>
          <w:sz w:val="32"/>
          <w:szCs w:val="32"/>
        </w:rPr>
        <w:drawing>
          <wp:inline distT="0" distB="0" distL="0" distR="0">
            <wp:extent cx="5274310" cy="3076575"/>
            <wp:effectExtent l="0" t="0" r="254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2021年无因公出国（境）经费支出</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公务用车购置及运行维护费支出2.27万元,完成预算100</w:t>
      </w:r>
      <w:r>
        <w:rPr>
          <w:rFonts w:ascii="仿宋_GB2312" w:eastAsia="仿宋_GB2312"/>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w:t>
      </w:r>
      <w:r>
        <w:rPr>
          <w:rFonts w:hint="eastAsia" w:ascii="仿宋_GB2312" w:eastAsia="仿宋_GB2312"/>
          <w:color w:val="000000"/>
          <w:sz w:val="32"/>
          <w:szCs w:val="32"/>
        </w:rPr>
        <w:t>20年减少0.38万元，减少14</w:t>
      </w:r>
      <w:r>
        <w:rPr>
          <w:rFonts w:ascii="仿宋_GB2312" w:eastAsia="仿宋_GB2312"/>
          <w:color w:val="000000"/>
          <w:sz w:val="32"/>
          <w:szCs w:val="32"/>
        </w:rPr>
        <w:t>%</w:t>
      </w:r>
      <w:r>
        <w:rPr>
          <w:rFonts w:hint="eastAsia" w:ascii="仿宋_GB2312" w:eastAsia="仿宋_GB2312"/>
          <w:color w:val="000000"/>
          <w:sz w:val="32"/>
          <w:szCs w:val="32"/>
        </w:rPr>
        <w:t>。主要原因是控制支出。</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其中：公务用车购置支出0万元。全年按规定更新购置公务用车0辆。截至</w:t>
      </w:r>
      <w:r>
        <w:rPr>
          <w:rFonts w:ascii="仿宋_GB2312" w:eastAsia="仿宋_GB2312"/>
          <w:color w:val="000000"/>
          <w:sz w:val="32"/>
          <w:szCs w:val="32"/>
        </w:rPr>
        <w:t>20</w:t>
      </w:r>
      <w:r>
        <w:rPr>
          <w:rFonts w:hint="eastAsia" w:ascii="仿宋_GB2312" w:eastAsia="仿宋_GB2312"/>
          <w:color w:val="000000"/>
          <w:sz w:val="32"/>
          <w:szCs w:val="32"/>
        </w:rPr>
        <w:t>21年</w:t>
      </w:r>
      <w:r>
        <w:rPr>
          <w:rFonts w:ascii="仿宋_GB2312" w:eastAsia="仿宋_GB2312"/>
          <w:color w:val="000000"/>
          <w:sz w:val="32"/>
          <w:szCs w:val="32"/>
        </w:rPr>
        <w:t>12</w:t>
      </w:r>
      <w:r>
        <w:rPr>
          <w:rFonts w:hint="eastAsia" w:ascii="仿宋_GB2312" w:eastAsia="仿宋_GB2312"/>
          <w:color w:val="000000"/>
          <w:sz w:val="32"/>
          <w:szCs w:val="32"/>
        </w:rPr>
        <w:t>月底，单位共有公务用车1辆，其中：轿车0辆、越野车1辆、载客汽车0辆。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2.27万元。主要用于工程建设需要等所需的公务用车燃料费、维修费、过路过桥费、保险费等支出。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1.2万元，</w:t>
      </w:r>
      <w:r>
        <w:rPr>
          <w:rStyle w:val="16"/>
          <w:rFonts w:hint="eastAsia" w:ascii="仿宋" w:hAnsi="仿宋" w:eastAsia="仿宋"/>
          <w:b w:val="0"/>
          <w:bCs/>
          <w:color w:val="000000"/>
          <w:sz w:val="32"/>
          <w:szCs w:val="32"/>
        </w:rPr>
        <w:t>完成预算100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公务接待费支出决算比2020年增加0.59万元，减少97</w:t>
      </w:r>
      <w:r>
        <w:rPr>
          <w:rFonts w:ascii="仿宋_GB2312" w:eastAsia="仿宋_GB2312"/>
          <w:color w:val="000000"/>
          <w:sz w:val="32"/>
          <w:szCs w:val="32"/>
        </w:rPr>
        <w:t>%</w:t>
      </w:r>
      <w:r>
        <w:rPr>
          <w:rFonts w:hint="eastAsia" w:ascii="仿宋_GB2312" w:eastAsia="仿宋_GB2312"/>
          <w:color w:val="000000"/>
          <w:sz w:val="32"/>
          <w:szCs w:val="32"/>
        </w:rPr>
        <w:t>。主要原因是2021年共开展一次公务接待活动，接待人数较多。</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主要用于执行公务、开展业务活动开支的交通费、住宿费、用餐费等。国内公务接待1批次，109人次，共计支出1.2万元，具体内容包括：红鱼洞水库及灌区工程蓄水阶段移民安置终验前现场检查接待。其中：</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，外事接待0批次，0人，共计支出0元.</w:t>
      </w:r>
    </w:p>
    <w:p>
      <w:pPr>
        <w:spacing w:line="600" w:lineRule="exact"/>
        <w:ind w:firstLine="640"/>
        <w:outlineLvl w:val="1"/>
        <w:rPr>
          <w:rStyle w:val="18"/>
          <w:rFonts w:ascii="黑体" w:hAnsi="黑体" w:eastAsia="黑体"/>
        </w:rPr>
      </w:pPr>
      <w:bookmarkStart w:id="42" w:name="_Toc15396610"/>
      <w:bookmarkStart w:id="43" w:name="_Toc15377218"/>
      <w:r>
        <w:rPr>
          <w:rFonts w:hint="eastAsia" w:ascii="黑体" w:eastAsia="黑体"/>
          <w:color w:val="000000"/>
          <w:sz w:val="32"/>
          <w:szCs w:val="32"/>
        </w:rPr>
        <w:t>八、</w:t>
      </w:r>
      <w:r>
        <w:rPr>
          <w:rStyle w:val="18"/>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2021年政府性基金预算拨款支出18300万元。</w:t>
      </w:r>
    </w:p>
    <w:p>
      <w:pPr>
        <w:numPr>
          <w:ilvl w:val="0"/>
          <w:numId w:val="2"/>
        </w:numPr>
        <w:spacing w:line="600" w:lineRule="exact"/>
        <w:ind w:firstLine="640"/>
        <w:outlineLvl w:val="1"/>
        <w:rPr>
          <w:rStyle w:val="18"/>
          <w:rFonts w:ascii="黑体" w:hAnsi="黑体" w:eastAsia="黑体"/>
          <w:b w:val="0"/>
        </w:rPr>
      </w:pPr>
      <w:bookmarkStart w:id="44" w:name="_Toc15396611"/>
      <w:bookmarkStart w:id="45" w:name="_Toc15377219"/>
      <w:r>
        <w:rPr>
          <w:rStyle w:val="18"/>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2021年无国有资本经营预算拨款支出0万元。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8"/>
          <w:rFonts w:ascii="黑体" w:hAnsi="黑体" w:eastAsia="黑体"/>
        </w:rPr>
      </w:pPr>
      <w:bookmarkStart w:id="46" w:name="_Toc15377221"/>
      <w:bookmarkStart w:id="47" w:name="_Toc15396612"/>
      <w:r>
        <w:rPr>
          <w:rFonts w:hint="eastAsia" w:ascii="黑体" w:hAnsi="黑体" w:eastAsia="黑体"/>
          <w:color w:val="000000"/>
          <w:sz w:val="32"/>
          <w:szCs w:val="32"/>
        </w:rPr>
        <w:t>十</w:t>
      </w:r>
      <w:r>
        <w:rPr>
          <w:rStyle w:val="18"/>
          <w:rFonts w:hint="eastAsia" w:ascii="黑体" w:hAnsi="黑体" w:eastAsia="黑体"/>
        </w:rPr>
        <w:t>、</w:t>
      </w:r>
      <w:r>
        <w:rPr>
          <w:rStyle w:val="18"/>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color w:val="000000"/>
          <w:sz w:val="32"/>
          <w:szCs w:val="32"/>
        </w:rPr>
      </w:pPr>
      <w:bookmarkStart w:id="48" w:name="_Toc15377222"/>
      <w:r>
        <w:rPr>
          <w:rFonts w:hint="eastAsia" w:ascii="仿宋" w:hAnsi="仿宋" w:eastAsia="仿宋"/>
          <w:b/>
          <w:color w:val="000000"/>
          <w:sz w:val="32"/>
          <w:szCs w:val="32"/>
        </w:rPr>
        <w:t>（一）机关运行经费支出情况</w:t>
      </w:r>
      <w:bookmarkEnd w:id="48"/>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sz w:val="32"/>
          <w:szCs w:val="32"/>
        </w:rPr>
        <w:t>2021年，巴中市红鱼洞水库运行保护中心机关运行经费支出52.43万元，比2021年增加3.25万元，增加6.6</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主要原因是办公费用增加和培训费开支增加。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9" w:name="_Toc15377223"/>
      <w:r>
        <w:rPr>
          <w:rFonts w:hint="eastAsia" w:ascii="仿宋" w:hAnsi="仿宋" w:eastAsia="仿宋"/>
          <w:b/>
          <w:color w:val="000000"/>
          <w:sz w:val="32"/>
          <w:szCs w:val="32"/>
        </w:rPr>
        <w:t>（二）政府采购支出情况</w:t>
      </w:r>
      <w:bookmarkEnd w:id="49"/>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2021年，巴中市红鱼洞水库运行保护中心政府采购支出总额290.41万元，其中：政府采购货物支出0.89万元、政府采购工程支出143.53万元、政府采购服务支出145.99万元。主要用于红鱼洞水库及灌区工程项目。</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0" w:name="_Toc15377224"/>
      <w:r>
        <w:rPr>
          <w:rFonts w:hint="eastAsia" w:ascii="仿宋" w:hAnsi="仿宋" w:eastAsia="仿宋"/>
          <w:b/>
          <w:color w:val="000000"/>
          <w:sz w:val="32"/>
          <w:szCs w:val="32"/>
        </w:rPr>
        <w:t>（三）国有资产占有使用情况</w:t>
      </w:r>
      <w:bookmarkEnd w:id="50"/>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截至2021年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日，巴中市红鱼洞水库运行保护中心共有车辆1辆，其中：其他用车1辆，</w:t>
      </w:r>
      <w:r>
        <w:rPr>
          <w:rFonts w:hint="eastAsia" w:ascii="仿宋_GB2312" w:eastAsia="仿宋_GB2312"/>
          <w:color w:val="000000" w:themeColor="text1"/>
          <w:sz w:val="32"/>
          <w:szCs w:val="32"/>
        </w:rPr>
        <w:t>其他用车主要是用于红鱼洞水库及灌区工程项目建设。单价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spacing w:line="580" w:lineRule="exact"/>
        <w:ind w:firstLine="640" w:firstLineChars="200"/>
        <w:rPr>
          <w:rStyle w:val="18"/>
          <w:rFonts w:ascii="黑体" w:hAnsi="黑体" w:eastAsia="黑体"/>
          <w:b w:val="0"/>
        </w:rPr>
      </w:pPr>
      <w:r>
        <w:rPr>
          <w:rStyle w:val="18"/>
          <w:rFonts w:hint="eastAsia" w:ascii="黑体" w:hAnsi="黑体" w:eastAsia="黑体"/>
          <w:b w:val="0"/>
        </w:rPr>
        <w:t>（四） 预算绩效情况说明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调研工作经费项目开展了预算事前绩效评估，对2个项目编制了绩效目标，预算执行过程中，选取2个项目开展绩效监控，年终执行完毕后，对2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本部门按要求对2021年部门整体支出开展绩效自评，汇</w:t>
      </w:r>
      <w:r>
        <w:rPr>
          <w:rFonts w:hint="eastAsia" w:ascii="仿宋_GB2312" w:hAnsi="宋体" w:eastAsia="仿宋_GB2312" w:cs="宋体"/>
          <w:sz w:val="32"/>
          <w:szCs w:val="32"/>
        </w:rPr>
        <w:t>总现场评价结论，对项目资金使用情况进行全面、综合评价，总结项目绩效及存在的问题，撰写绩效评价报告</w:t>
      </w:r>
      <w:r>
        <w:rPr>
          <w:rFonts w:hint="eastAsia" w:ascii="仿宋_GB2312" w:hAnsi="仿宋_GB2312" w:eastAsia="仿宋_GB2312" w:cs="仿宋_GB2312"/>
          <w:sz w:val="32"/>
          <w:szCs w:val="32"/>
        </w:rPr>
        <w:t>。</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本部门在2021年度部门决算中反映调研工作经费项目、驻村工作经费项目绩效目标实际完成情况。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（1）调研工作经费项目完成情况综述。2020年度项目调研经费全年预算16.2万元，执行数为16.2万元，完成预算的100%。</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通过项目实施，</w:t>
      </w:r>
      <w:r>
        <w:rPr>
          <w:rFonts w:hint="eastAsia" w:ascii="仿宋_GB2312" w:eastAsia="仿宋_GB2312"/>
          <w:sz w:val="32"/>
          <w:szCs w:val="32"/>
        </w:rPr>
        <w:t>红鱼洞水库建设过程及完工后为库区及灌区带来良好的经社会效益。</w:t>
      </w:r>
      <w:r>
        <w:rPr>
          <w:rFonts w:hint="eastAsia" w:ascii="仿宋_GB2312" w:eastAsia="仿宋_GB2312"/>
          <w:b/>
          <w:sz w:val="32"/>
          <w:szCs w:val="32"/>
        </w:rPr>
        <w:t>一是</w:t>
      </w:r>
      <w:r>
        <w:rPr>
          <w:rFonts w:hint="eastAsia" w:ascii="仿宋_GB2312" w:eastAsia="仿宋_GB2312"/>
          <w:sz w:val="32"/>
          <w:szCs w:val="32"/>
        </w:rPr>
        <w:t>相关部门按时足额发放移民资金和移民的各项优惠政策，让库区移民群众生活和居住环境大为改善。</w:t>
      </w:r>
      <w:r>
        <w:rPr>
          <w:rFonts w:hint="eastAsia" w:ascii="仿宋_GB2312" w:eastAsia="仿宋_GB2312"/>
          <w:b/>
          <w:sz w:val="32"/>
          <w:szCs w:val="32"/>
        </w:rPr>
        <w:t>二是</w:t>
      </w:r>
      <w:r>
        <w:rPr>
          <w:rFonts w:hint="eastAsia" w:ascii="仿宋_GB2312" w:eastAsia="仿宋_GB2312"/>
          <w:sz w:val="32"/>
          <w:szCs w:val="32"/>
        </w:rPr>
        <w:t>水库建成后为整个巴中地区提供清洁安全的饮用水，让库区及灌区民众生活质量和生活品质大大提高。</w:t>
      </w:r>
      <w:r>
        <w:rPr>
          <w:rFonts w:hint="eastAsia" w:ascii="仿宋_GB2312" w:eastAsia="仿宋_GB2312"/>
          <w:b/>
          <w:sz w:val="32"/>
          <w:szCs w:val="32"/>
        </w:rPr>
        <w:t>三是</w:t>
      </w:r>
      <w:r>
        <w:rPr>
          <w:rFonts w:hint="eastAsia" w:ascii="仿宋_GB2312" w:eastAsia="仿宋_GB2312"/>
          <w:sz w:val="32"/>
          <w:szCs w:val="32"/>
        </w:rPr>
        <w:t>灌区基础设施建设改善了移民群众居住环境，解决了移民区受水源地保护制约有关产业发展的问题，促进移民区绿色环保发展，同时更好地保护了水库水源，保持库区周边的生态环境不断得到改善和提升。</w:t>
      </w:r>
    </w:p>
    <w:p>
      <w:pPr>
        <w:ind w:firstLine="640" w:firstLineChars="200"/>
        <w:rPr>
          <w:rFonts w:ascii="仿宋_GB2312" w:eastAsia="仿宋_GB2312"/>
          <w:sz w:val="32"/>
          <w:szCs w:val="32"/>
        </w:rPr>
      </w:pPr>
      <w:r>
        <w:rPr>
          <w:rFonts w:hint="eastAsia" w:ascii="仿宋_GB2312" w:eastAsia="仿宋_GB2312"/>
          <w:sz w:val="32"/>
          <w:szCs w:val="32"/>
        </w:rPr>
        <w:t>我中心征求了库区及灌区群众对水库建设的意见，群众满意率达到100%。</w:t>
      </w:r>
    </w:p>
    <w:p>
      <w:pPr>
        <w:ind w:firstLine="643" w:firstLineChars="200"/>
        <w:rPr>
          <w:rFonts w:ascii="仿宋_GB2312" w:eastAsia="仿宋_GB2312"/>
          <w:b/>
          <w:sz w:val="32"/>
          <w:szCs w:val="32"/>
        </w:rPr>
      </w:pPr>
      <w:r>
        <w:rPr>
          <w:rFonts w:hint="eastAsia" w:ascii="仿宋_GB2312" w:eastAsia="仿宋_GB2312"/>
          <w:b/>
          <w:sz w:val="32"/>
          <w:szCs w:val="32"/>
        </w:rPr>
        <w:t>下一步改进措施：</w:t>
      </w:r>
      <w:r>
        <w:rPr>
          <w:rFonts w:hint="eastAsia" w:ascii="仿宋_GB2312" w:eastAsia="仿宋_GB2312"/>
          <w:sz w:val="32"/>
          <w:szCs w:val="32"/>
        </w:rPr>
        <w:t>加强政策宣传力度，大力宣传水利建设对农业发展、人民生活、生态环境、防洪度汛重要性，积极争取各级党委政府及上级主管部门的关心支持，取得库区及灌区人民群众的理解支持。同时在水库建设中必须依法进行施工建设，确保项目建设有序推进。</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w:t>
            </w:r>
            <w:r>
              <w:rPr>
                <w:rFonts w:hint="eastAsia" w:ascii="宋体" w:hAnsi="宋体" w:cs="宋体"/>
                <w:color w:val="000000"/>
                <w:kern w:val="0"/>
                <w:sz w:val="36"/>
                <w:szCs w:val="36"/>
                <w:lang w:bidi="ar"/>
              </w:rPr>
              <w:t>1年度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调研工作经费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巴中市红鱼洞水库运行保护中心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162000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162000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162000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162000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w:t>
            </w:r>
            <w:r>
              <w:rPr>
                <w:rFonts w:hint="eastAsia" w:ascii="宋体" w:hAnsi="宋体" w:cs="宋体"/>
                <w:color w:val="000000"/>
                <w:kern w:val="0"/>
                <w:sz w:val="24"/>
                <w:lang w:eastAsia="zh-CN" w:bidi="ar"/>
              </w:rPr>
              <w:t>他</w:t>
            </w:r>
            <w:r>
              <w:rPr>
                <w:rFonts w:hint="eastAsia" w:ascii="宋体" w:hAnsi="宋体" w:cs="宋体"/>
                <w:color w:val="000000"/>
                <w:kern w:val="0"/>
                <w:sz w:val="24"/>
                <w:lang w:bidi="ar"/>
              </w:rPr>
              <w:t>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w:t>
            </w:r>
            <w:r>
              <w:rPr>
                <w:rFonts w:hint="eastAsia" w:ascii="宋体" w:hAnsi="宋体" w:cs="宋体"/>
                <w:color w:val="000000"/>
                <w:kern w:val="0"/>
                <w:sz w:val="24"/>
                <w:lang w:eastAsia="zh-CN" w:bidi="ar"/>
              </w:rPr>
              <w:t>他</w:t>
            </w:r>
            <w:r>
              <w:rPr>
                <w:rFonts w:hint="eastAsia" w:ascii="宋体" w:hAnsi="宋体" w:cs="宋体"/>
                <w:color w:val="000000"/>
                <w:kern w:val="0"/>
                <w:sz w:val="24"/>
                <w:lang w:bidi="ar"/>
              </w:rPr>
              <w:t>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走访调研红鱼洞水库及灌区工程项目，项目实施是否达到工程项目质量指标，是否充分发挥水库建设防洪减灾效益，是否服务库区人民，群众满意度是否提高等。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工程项目单项或分部工程质量达标率100%，充分发挥防洪减灾效益，服务库区人民。</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工程质量达标率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单项或分部工程质量达标率100%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单项或分部工程质量达标率100%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防洪减灾效益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充分发挥水库防洪减灾效益</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sz w:val="24"/>
              </w:rPr>
              <w:t>群众满意度达100%。</w:t>
            </w:r>
            <w:r>
              <w:rPr>
                <w:rFonts w:hint="eastAsia" w:ascii="宋体" w:hAnsi="宋体" w:cs="宋体"/>
                <w:color w:val="000000"/>
                <w:kern w:val="0"/>
                <w:sz w:val="24"/>
              </w:rPr>
              <w:t>灌区基础设施建设改善了移民群众居住环境，解决了移民区受水源地保护制约有关产业发展的问题，促进移民区绿色环保发展，同时更好地保护了水库水源，保持库区周边的生态环境不断得到改善和提升。</w:t>
            </w:r>
          </w:p>
          <w:p>
            <w:pPr>
              <w:widowControl/>
              <w:jc w:val="center"/>
              <w:textAlignment w:val="center"/>
              <w:rPr>
                <w:rFonts w:ascii="宋体" w:cs="宋体"/>
                <w:color w:val="000000"/>
                <w:sz w:val="24"/>
              </w:rPr>
            </w:pPr>
          </w:p>
        </w:tc>
      </w:tr>
    </w:tbl>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（2）驻村工作经费项目完成情况综述。2021年度驻村工作经费全年预算6万元，执行数为6万元，完成预算的100%。</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通过项目实施，完成驻村工作队工作，规划发展产业，促进农民增收，提升群众满意度。</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w:t>
            </w:r>
            <w:r>
              <w:rPr>
                <w:rFonts w:hint="eastAsia" w:ascii="宋体" w:hAnsi="宋体" w:cs="宋体"/>
                <w:color w:val="000000"/>
                <w:kern w:val="0"/>
                <w:sz w:val="36"/>
                <w:szCs w:val="36"/>
                <w:lang w:bidi="ar"/>
              </w:rPr>
              <w:t>1年度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驻村工作经费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巴中市红鱼洞水库运行保护中心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60000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60000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60000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60000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w:t>
            </w:r>
            <w:r>
              <w:rPr>
                <w:rFonts w:hint="eastAsia" w:ascii="宋体" w:hAnsi="宋体" w:cs="宋体"/>
                <w:color w:val="000000"/>
                <w:kern w:val="0"/>
                <w:sz w:val="24"/>
                <w:lang w:eastAsia="zh-CN" w:bidi="ar"/>
              </w:rPr>
              <w:t>他</w:t>
            </w:r>
            <w:r>
              <w:rPr>
                <w:rFonts w:hint="eastAsia" w:ascii="宋体" w:hAnsi="宋体" w:cs="宋体"/>
                <w:color w:val="000000"/>
                <w:kern w:val="0"/>
                <w:sz w:val="24"/>
                <w:lang w:bidi="ar"/>
              </w:rPr>
              <w:t>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w:t>
            </w:r>
            <w:r>
              <w:rPr>
                <w:rFonts w:hint="eastAsia" w:ascii="宋体" w:hAnsi="宋体" w:cs="宋体"/>
                <w:color w:val="000000"/>
                <w:kern w:val="0"/>
                <w:sz w:val="24"/>
                <w:lang w:eastAsia="zh-CN" w:bidi="ar"/>
              </w:rPr>
              <w:t>他</w:t>
            </w:r>
            <w:r>
              <w:rPr>
                <w:rFonts w:hint="eastAsia" w:ascii="宋体" w:hAnsi="宋体" w:cs="宋体"/>
                <w:color w:val="000000"/>
                <w:kern w:val="0"/>
                <w:sz w:val="24"/>
                <w:lang w:bidi="ar"/>
              </w:rPr>
              <w:t>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通过项目实施，完成驻村工作队工作，规划产业发展，促进农民增收提升群众满意度。</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完成驻村工作队工作，规划产业发展，促进农民增收提升群众满意度</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驻村数量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上两乡新河村、流坝乡梅岭村，共2个贫困村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完成对2个贫困村的帮扶工作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项目效益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促进农户增收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规划产业经济收入稳定增长，促进农民增收</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群众满意度达95%以上。</w:t>
            </w:r>
          </w:p>
        </w:tc>
      </w:tr>
    </w:tbl>
    <w:p>
      <w:pPr>
        <w:spacing w:line="580" w:lineRule="exact"/>
        <w:ind w:left="630"/>
        <w:rPr>
          <w:rFonts w:ascii="楷体_GB2312" w:hAnsi="楷体_GB2312" w:eastAsia="楷体_GB2312" w:cs="楷体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本部门按要求对2021年部门整体支出绩效评价情况开展自评，《巴中市红鱼洞水库运行保护中心2021年部门整体支出绩效评价报告》见附件（附件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00" w:lineRule="exact"/>
        <w:ind w:firstLine="723" w:firstLineChars="200"/>
        <w:jc w:val="center"/>
        <w:rPr>
          <w:rFonts w:ascii="方正小标宋简体" w:eastAsia="方正小标宋简体"/>
          <w:b/>
          <w:color w:val="000000"/>
          <w:sz w:val="36"/>
          <w:szCs w:val="36"/>
        </w:rPr>
      </w:pPr>
    </w:p>
    <w:p>
      <w:pPr>
        <w:widowControl/>
        <w:jc w:val="center"/>
        <w:rPr>
          <w:rFonts w:ascii="黑体" w:hAnsi="黑体" w:eastAsia="黑体"/>
          <w:b/>
          <w:color w:val="000000"/>
          <w:sz w:val="44"/>
          <w:szCs w:val="44"/>
        </w:rPr>
      </w:pPr>
      <w:bookmarkStart w:id="51" w:name="_Toc15377225"/>
      <w:bookmarkStart w:id="52" w:name="_Toc15396613"/>
      <w:r>
        <w:rPr>
          <w:rFonts w:hint="eastAsia" w:ascii="黑体" w:hAnsi="黑体" w:eastAsia="黑体"/>
          <w:b/>
          <w:color w:val="000000"/>
          <w:sz w:val="44"/>
          <w:szCs w:val="44"/>
        </w:rPr>
        <w:t>第三部分  名词解释</w:t>
      </w:r>
      <w:bookmarkEnd w:id="51"/>
      <w:bookmarkEnd w:id="52"/>
    </w:p>
    <w:p>
      <w:pPr>
        <w:spacing w:line="600" w:lineRule="exact"/>
        <w:jc w:val="left"/>
        <w:rPr>
          <w:rFonts w:ascii="黑体" w:hAnsi="黑体" w:eastAsia="黑体"/>
          <w:b/>
          <w:color w:val="000000"/>
          <w:sz w:val="44"/>
          <w:szCs w:val="44"/>
        </w:rPr>
      </w:pPr>
    </w:p>
    <w:p>
      <w:pPr>
        <w:pStyle w:val="25"/>
        <w:spacing w:line="560" w:lineRule="exact"/>
        <w:ind w:firstLine="640" w:firstLineChars="200"/>
        <w:rPr>
          <w:rFonts w:ascii="仿宋_GB2312" w:eastAsia="仿宋_GB2312"/>
          <w:sz w:val="32"/>
          <w:szCs w:val="32"/>
        </w:rPr>
      </w:pPr>
      <w:bookmarkStart w:id="53" w:name="_Toc15396614"/>
      <w:bookmarkStart w:id="54"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3036" w:firstLineChars="690"/>
        <w:rPr>
          <w:rStyle w:val="27"/>
          <w:rFonts w:ascii="黑体" w:hAnsi="黑体" w:eastAsia="黑体"/>
          <w:b w:val="0"/>
        </w:rPr>
      </w:pPr>
      <w:r>
        <w:rPr>
          <w:rFonts w:hint="eastAsia" w:ascii="黑体" w:hAnsi="黑体" w:eastAsia="黑体"/>
          <w:color w:val="000000"/>
          <w:sz w:val="44"/>
          <w:szCs w:val="44"/>
        </w:rPr>
        <w:t>第</w:t>
      </w:r>
      <w:r>
        <w:rPr>
          <w:rStyle w:val="27"/>
          <w:rFonts w:hint="eastAsia" w:ascii="黑体" w:hAnsi="黑体" w:eastAsia="黑体"/>
          <w:b w:val="0"/>
        </w:rPr>
        <w:t>四部分 附件</w:t>
      </w:r>
      <w:bookmarkEnd w:id="53"/>
    </w:p>
    <w:p>
      <w:pPr>
        <w:spacing w:line="600" w:lineRule="exact"/>
        <w:jc w:val="center"/>
        <w:outlineLvl w:val="0"/>
        <w:rPr>
          <w:rStyle w:val="27"/>
        </w:rPr>
      </w:pPr>
    </w:p>
    <w:p>
      <w:pPr>
        <w:pStyle w:val="3"/>
        <w:rPr>
          <w:rStyle w:val="27"/>
          <w:rFonts w:ascii="仿宋" w:hAnsi="仿宋" w:eastAsia="仿宋"/>
          <w:b w:val="0"/>
          <w:bCs w:val="0"/>
          <w:sz w:val="32"/>
          <w:szCs w:val="32"/>
        </w:rPr>
      </w:pPr>
      <w:bookmarkStart w:id="55" w:name="_Toc15396617"/>
      <w:r>
        <w:rPr>
          <w:rStyle w:val="27"/>
          <w:rFonts w:hint="eastAsia" w:ascii="仿宋" w:hAnsi="仿宋" w:eastAsia="仿宋"/>
          <w:b w:val="0"/>
          <w:bCs w:val="0"/>
          <w:sz w:val="32"/>
          <w:szCs w:val="32"/>
        </w:rPr>
        <w:t>附件</w:t>
      </w:r>
      <w:bookmarkEnd w:id="55"/>
      <w:r>
        <w:rPr>
          <w:rStyle w:val="27"/>
          <w:rFonts w:hint="eastAsia" w:ascii="仿宋" w:hAnsi="仿宋" w:eastAsia="仿宋"/>
          <w:b w:val="0"/>
          <w:bCs w:val="0"/>
          <w:sz w:val="32"/>
          <w:szCs w:val="32"/>
        </w:rPr>
        <w:t>1</w:t>
      </w:r>
    </w:p>
    <w:p>
      <w:pPr>
        <w:spacing w:line="500" w:lineRule="exact"/>
        <w:ind w:firstLine="723" w:firstLineChars="200"/>
        <w:jc w:val="center"/>
        <w:rPr>
          <w:rFonts w:ascii="方正小标宋简体" w:eastAsia="方正小标宋简体"/>
          <w:b/>
          <w:color w:val="000000"/>
          <w:sz w:val="36"/>
          <w:szCs w:val="36"/>
        </w:rPr>
      </w:pPr>
      <w:r>
        <w:rPr>
          <w:rFonts w:hint="eastAsia" w:ascii="方正小标宋简体" w:eastAsia="方正小标宋简体"/>
          <w:b/>
          <w:color w:val="000000"/>
          <w:sz w:val="36"/>
          <w:szCs w:val="36"/>
        </w:rPr>
        <w:t>巴中市红鱼洞水库运行保护中心</w:t>
      </w:r>
    </w:p>
    <w:p>
      <w:pPr>
        <w:spacing w:line="500" w:lineRule="exact"/>
        <w:ind w:firstLine="723" w:firstLineChars="200"/>
        <w:jc w:val="center"/>
        <w:rPr>
          <w:rFonts w:ascii="方正小标宋简体" w:eastAsia="方正小标宋简体"/>
          <w:b/>
          <w:color w:val="000000"/>
          <w:sz w:val="36"/>
          <w:szCs w:val="36"/>
        </w:rPr>
      </w:pPr>
      <w:r>
        <w:rPr>
          <w:rFonts w:hint="eastAsia" w:ascii="方正小标宋简体" w:eastAsia="方正小标宋简体"/>
          <w:b/>
          <w:color w:val="000000"/>
          <w:sz w:val="36"/>
          <w:szCs w:val="36"/>
        </w:rPr>
        <w:t>2021年部门整体支出绩效评价报告</w:t>
      </w:r>
    </w:p>
    <w:p>
      <w:pPr>
        <w:spacing w:line="500" w:lineRule="exact"/>
        <w:ind w:firstLine="723" w:firstLineChars="200"/>
        <w:jc w:val="center"/>
        <w:rPr>
          <w:rFonts w:ascii="方正小标宋简体" w:eastAsia="方正小标宋简体"/>
          <w:b/>
          <w:color w:val="000000"/>
          <w:sz w:val="36"/>
          <w:szCs w:val="36"/>
        </w:rPr>
      </w:pPr>
    </w:p>
    <w:p>
      <w:pPr>
        <w:pStyle w:val="13"/>
        <w:shd w:val="clear" w:color="auto" w:fill="FFFFFF"/>
        <w:spacing w:before="93" w:beforeAutospacing="0" w:after="0" w:afterAutospacing="0" w:line="580" w:lineRule="atLeast"/>
        <w:ind w:firstLine="640"/>
        <w:rPr>
          <w:rFonts w:ascii="微软雅黑" w:hAnsi="微软雅黑" w:eastAsia="微软雅黑"/>
          <w:color w:val="333333"/>
        </w:rPr>
      </w:pPr>
      <w:r>
        <w:rPr>
          <w:rFonts w:hint="eastAsia" w:ascii="黑体" w:hAnsi="黑体" w:eastAsia="黑体"/>
          <w:color w:val="000000"/>
          <w:sz w:val="32"/>
          <w:szCs w:val="32"/>
          <w:shd w:val="clear" w:color="auto" w:fill="FFFFFF"/>
        </w:rPr>
        <w:t>一、部门（单位）概况</w:t>
      </w:r>
    </w:p>
    <w:p>
      <w:pPr>
        <w:pStyle w:val="13"/>
        <w:shd w:val="clear" w:color="auto" w:fill="FFFFFF"/>
        <w:spacing w:before="93" w:beforeAutospacing="0" w:after="0" w:afterAutospacing="0" w:line="560" w:lineRule="atLeast"/>
        <w:ind w:firstLine="640"/>
        <w:jc w:val="both"/>
        <w:rPr>
          <w:rFonts w:ascii="Times New Roman" w:hAnsi="Times New Roman" w:cs="Times New Roman"/>
          <w:color w:val="333333"/>
          <w:sz w:val="21"/>
          <w:szCs w:val="21"/>
        </w:rPr>
      </w:pPr>
      <w:r>
        <w:rPr>
          <w:rFonts w:hint="eastAsia" w:ascii="仿宋" w:hAnsi="仿宋" w:eastAsia="仿宋" w:cs="Times New Roman"/>
          <w:b/>
          <w:bCs/>
          <w:color w:val="000000"/>
          <w:sz w:val="32"/>
          <w:szCs w:val="32"/>
        </w:rPr>
        <w:t>（一）机构组成。</w:t>
      </w:r>
      <w:r>
        <w:rPr>
          <w:rFonts w:hint="eastAsia" w:ascii="仿宋" w:hAnsi="仿宋" w:eastAsia="仿宋" w:cs="Times New Roman"/>
          <w:color w:val="000000"/>
          <w:sz w:val="32"/>
          <w:szCs w:val="32"/>
        </w:rPr>
        <w:t>巴中市红鱼洞水库运行保护中心为巴中市人民政府直属正县级公益一类事业单位，为一级预算单位。</w:t>
      </w:r>
    </w:p>
    <w:p>
      <w:pPr>
        <w:spacing w:line="600" w:lineRule="exact"/>
        <w:ind w:firstLine="640"/>
        <w:jc w:val="left"/>
        <w:rPr>
          <w:rFonts w:ascii="仿宋_GB2312" w:eastAsia="仿宋_GB2312"/>
          <w:sz w:val="32"/>
          <w:szCs w:val="32"/>
        </w:rPr>
      </w:pPr>
      <w:r>
        <w:rPr>
          <w:rFonts w:hint="eastAsia" w:ascii="仿宋" w:hAnsi="仿宋" w:eastAsia="仿宋"/>
          <w:b/>
          <w:bCs/>
          <w:color w:val="333333"/>
          <w:sz w:val="32"/>
          <w:szCs w:val="32"/>
        </w:rPr>
        <w:t>（二）机构职能。</w:t>
      </w:r>
      <w:r>
        <w:rPr>
          <w:rFonts w:hint="eastAsia" w:ascii="仿宋_GB2312" w:eastAsia="仿宋_GB2312"/>
          <w:sz w:val="32"/>
          <w:szCs w:val="32"/>
        </w:rPr>
        <w:t>1.</w:t>
      </w:r>
      <w:r>
        <w:rPr>
          <w:rFonts w:ascii="仿宋_GB2312" w:eastAsia="仿宋_GB2312"/>
          <w:sz w:val="32"/>
          <w:szCs w:val="32"/>
        </w:rPr>
        <w:t xml:space="preserve"> 贯彻落实党中央和省、市委关于水利工程运行保护工作的方针政策和决策部署，在履行职责过程中坚持和加强党对水利工程运行保护工作的集中统一领导。研究制定和组织实施水库运行保护的长远发展规划和年度计划</w:t>
      </w:r>
    </w:p>
    <w:p>
      <w:pPr>
        <w:spacing w:line="554" w:lineRule="exact"/>
        <w:ind w:firstLine="8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 xml:space="preserve"> 按照水利工程管理要求，制定工程的日常管理制度，做好水利工程的检查、观测，建立健全工程技术档案，加强标准化管理。</w:t>
      </w:r>
    </w:p>
    <w:p>
      <w:pPr>
        <w:spacing w:line="554" w:lineRule="exact"/>
        <w:ind w:firstLine="8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 xml:space="preserve"> 监测、检查、养护和维修工程建（构）筑物以及设施设备，保持建（构）筑物以及设施设备完好，确保安全运行；按照水利工程基本建设程序，承担水库枢纽、渠系工程及附属建（构）筑物工程配套改造、更新、新建等工程项目的编制、上报及建设管理工作。</w:t>
      </w:r>
    </w:p>
    <w:p>
      <w:pPr>
        <w:spacing w:line="600" w:lineRule="exact"/>
        <w:ind w:firstLine="640"/>
        <w:jc w:val="left"/>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 xml:space="preserve"> 编制水库调度运行计划和防汛抗旱预案，做好蓄水保水、调度运行、防汛抗旱等工作。</w:t>
      </w:r>
    </w:p>
    <w:p>
      <w:pPr>
        <w:spacing w:line="600" w:lineRule="exact"/>
        <w:ind w:firstLine="640"/>
        <w:jc w:val="left"/>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 xml:space="preserve"> 按照节约用水的有关要求，编制年度用水计划，并按照批准的计划严格用水管理，实行计划供水。</w:t>
      </w:r>
    </w:p>
    <w:p>
      <w:pPr>
        <w:spacing w:line="600" w:lineRule="exact"/>
        <w:ind w:firstLine="640"/>
        <w:jc w:val="left"/>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 xml:space="preserve"> 按照规定计收并管理、使用水费、电费。</w:t>
      </w:r>
    </w:p>
    <w:p>
      <w:pPr>
        <w:spacing w:line="574" w:lineRule="exact"/>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 xml:space="preserve"> 做好区域内水资源保护、水生态建设和水利风景区开发等工作。</w:t>
      </w:r>
    </w:p>
    <w:p>
      <w:pPr>
        <w:spacing w:line="600" w:lineRule="exact"/>
        <w:ind w:firstLine="640"/>
        <w:jc w:val="left"/>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 xml:space="preserve"> 在确保公益目标的前提下，开展综合经营，科学合理开展固定资产的保值、增值工作，提高工程经济效益。</w:t>
      </w:r>
    </w:p>
    <w:p>
      <w:pPr>
        <w:spacing w:line="600" w:lineRule="exact"/>
        <w:ind w:firstLine="640"/>
        <w:jc w:val="left"/>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 xml:space="preserve"> 做好业务培训，做好水利科技创新，维护水上交通安全，推广应用水利先进技术，加强水利信息化建设与管理。</w:t>
      </w:r>
    </w:p>
    <w:p>
      <w:pPr>
        <w:pStyle w:val="6"/>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sz w:val="32"/>
          <w:szCs w:val="32"/>
        </w:rPr>
        <w:t>10.</w:t>
      </w:r>
      <w:r>
        <w:rPr>
          <w:sz w:val="32"/>
          <w:szCs w:val="32"/>
        </w:rPr>
        <w:t xml:space="preserve"> 完成市委、市政府交办的其他事项，接受市水利局对业务工作的指导、协调和监督</w:t>
      </w:r>
      <w:r>
        <w:rPr>
          <w:rFonts w:hint="eastAsia"/>
          <w:sz w:val="32"/>
          <w:szCs w:val="32"/>
        </w:rPr>
        <w:t>。</w:t>
      </w:r>
    </w:p>
    <w:p>
      <w:pPr>
        <w:pStyle w:val="13"/>
        <w:shd w:val="clear" w:color="auto" w:fill="FFFFFF"/>
        <w:spacing w:before="93" w:beforeAutospacing="0" w:after="0" w:afterAutospacing="0" w:line="600" w:lineRule="atLeast"/>
        <w:ind w:firstLine="640"/>
        <w:jc w:val="both"/>
        <w:rPr>
          <w:rFonts w:ascii="Times New Roman" w:hAnsi="Times New Roman" w:cs="Times New Roman"/>
          <w:color w:val="333333"/>
          <w:sz w:val="21"/>
          <w:szCs w:val="21"/>
        </w:rPr>
      </w:pPr>
      <w:r>
        <w:rPr>
          <w:rFonts w:hint="eastAsia" w:ascii="仿宋" w:hAnsi="仿宋" w:eastAsia="仿宋" w:cs="Times New Roman"/>
          <w:b/>
          <w:bCs/>
          <w:color w:val="000000"/>
          <w:sz w:val="32"/>
          <w:szCs w:val="32"/>
        </w:rPr>
        <w:t>（三）人员概况。</w:t>
      </w:r>
      <w:r>
        <w:rPr>
          <w:rFonts w:hint="eastAsia" w:ascii="仿宋" w:hAnsi="仿宋" w:eastAsia="仿宋" w:cs="Times New Roman"/>
          <w:color w:val="000000"/>
          <w:sz w:val="32"/>
          <w:szCs w:val="32"/>
        </w:rPr>
        <w:t>红鱼洞水库运行保护中心2021年度在编在岗人员41人，退休1人。</w:t>
      </w:r>
    </w:p>
    <w:p>
      <w:pPr>
        <w:pStyle w:val="13"/>
        <w:shd w:val="clear" w:color="auto" w:fill="FFFFFF"/>
        <w:spacing w:before="93" w:beforeAutospacing="0" w:after="0" w:afterAutospacing="0" w:line="580" w:lineRule="atLeast"/>
        <w:ind w:firstLine="640"/>
        <w:rPr>
          <w:rFonts w:ascii="微软雅黑" w:hAnsi="微软雅黑" w:eastAsia="微软雅黑"/>
          <w:color w:val="333333"/>
        </w:rPr>
      </w:pPr>
      <w:r>
        <w:rPr>
          <w:rFonts w:hint="eastAsia" w:ascii="黑体" w:hAnsi="黑体" w:eastAsia="黑体"/>
          <w:color w:val="000000"/>
          <w:sz w:val="32"/>
          <w:szCs w:val="32"/>
          <w:shd w:val="clear" w:color="auto" w:fill="FFFFFF"/>
        </w:rPr>
        <w:t>二、部门财政资金收支情况</w:t>
      </w:r>
    </w:p>
    <w:p>
      <w:pPr>
        <w:pStyle w:val="13"/>
        <w:shd w:val="clear" w:color="auto" w:fill="FFFFFF"/>
        <w:spacing w:before="93" w:beforeAutospacing="0" w:after="0" w:afterAutospacing="0" w:line="580" w:lineRule="atLeast"/>
        <w:ind w:firstLine="640"/>
        <w:rPr>
          <w:rFonts w:ascii="仿宋" w:hAnsi="仿宋" w:eastAsia="仿宋"/>
          <w:sz w:val="32"/>
          <w:szCs w:val="32"/>
        </w:rPr>
      </w:pPr>
      <w:r>
        <w:rPr>
          <w:rFonts w:hint="eastAsia" w:ascii="仿宋_GB2312" w:hAnsi="楷体" w:eastAsia="仿宋_GB2312" w:cs="楷体"/>
          <w:b/>
          <w:kern w:val="2"/>
          <w:sz w:val="32"/>
          <w:szCs w:val="32"/>
        </w:rPr>
        <w:t>（一）部门财政资金收入情况。</w:t>
      </w:r>
      <w:r>
        <w:rPr>
          <w:rFonts w:hint="eastAsia" w:ascii="仿宋" w:hAnsi="仿宋" w:eastAsia="仿宋"/>
          <w:sz w:val="32"/>
          <w:szCs w:val="32"/>
        </w:rPr>
        <w:t>2021年本年收入合计21163.59万元，其中：一般公共预算财政拨款收入2863.59万元，占13.5</w:t>
      </w:r>
      <w:r>
        <w:rPr>
          <w:rFonts w:ascii="仿宋" w:hAnsi="仿宋" w:eastAsia="仿宋"/>
          <w:sz w:val="32"/>
          <w:szCs w:val="32"/>
        </w:rPr>
        <w:t>%</w:t>
      </w:r>
      <w:r>
        <w:rPr>
          <w:rFonts w:hint="eastAsia" w:ascii="仿宋" w:hAnsi="仿宋" w:eastAsia="仿宋"/>
          <w:sz w:val="32"/>
          <w:szCs w:val="32"/>
        </w:rPr>
        <w:t>；政府性基金预算财政拨款收入18300万元，占86.5</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color w:val="000000"/>
          <w:sz w:val="32"/>
          <w:szCs w:val="32"/>
        </w:rPr>
      </w:pPr>
      <w:r>
        <w:rPr>
          <w:rFonts w:hint="eastAsia" w:ascii="仿宋_GB2312" w:hAnsi="楷体" w:eastAsia="仿宋_GB2312" w:cs="楷体"/>
          <w:b/>
          <w:sz w:val="32"/>
          <w:szCs w:val="32"/>
        </w:rPr>
        <w:t>（二）部门财政资金支出情况。</w:t>
      </w:r>
      <w:r>
        <w:rPr>
          <w:rFonts w:hint="eastAsia" w:ascii="仿宋" w:hAnsi="仿宋" w:eastAsia="仿宋"/>
          <w:sz w:val="32"/>
          <w:szCs w:val="32"/>
        </w:rPr>
        <w:t>2021年本年支出合计21163.59万元，其中：</w:t>
      </w:r>
      <w:r>
        <w:rPr>
          <w:rFonts w:hint="eastAsia" w:ascii="仿宋" w:hAnsi="仿宋" w:eastAsia="仿宋"/>
          <w:color w:val="000000"/>
          <w:sz w:val="32"/>
          <w:szCs w:val="32"/>
        </w:rPr>
        <w:t>基本支出563.59万元，占2.7</w:t>
      </w:r>
      <w:r>
        <w:rPr>
          <w:rFonts w:ascii="仿宋" w:hAnsi="仿宋" w:eastAsia="仿宋"/>
          <w:color w:val="000000"/>
          <w:sz w:val="32"/>
          <w:szCs w:val="32"/>
        </w:rPr>
        <w:t>%</w:t>
      </w:r>
      <w:r>
        <w:rPr>
          <w:rFonts w:hint="eastAsia" w:ascii="仿宋" w:hAnsi="仿宋" w:eastAsia="仿宋"/>
          <w:color w:val="000000"/>
          <w:sz w:val="32"/>
          <w:szCs w:val="32"/>
        </w:rPr>
        <w:t>；项目支出20600万元，占97.3</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pStyle w:val="13"/>
        <w:shd w:val="clear" w:color="auto" w:fill="FFFFFF"/>
        <w:spacing w:before="93" w:beforeAutospacing="0" w:after="0" w:afterAutospacing="0" w:line="580" w:lineRule="atLeast"/>
        <w:ind w:firstLine="640"/>
        <w:rPr>
          <w:rFonts w:ascii="微软雅黑" w:hAnsi="微软雅黑" w:eastAsia="微软雅黑"/>
        </w:rPr>
      </w:pPr>
      <w:r>
        <w:rPr>
          <w:rFonts w:hint="eastAsia" w:ascii="黑体" w:hAnsi="黑体" w:eastAsia="黑体"/>
          <w:sz w:val="32"/>
          <w:szCs w:val="32"/>
          <w:shd w:val="clear" w:color="auto" w:fill="FFFFFF"/>
        </w:rPr>
        <w:t>三、部门整体预算绩效管理情况</w:t>
      </w:r>
    </w:p>
    <w:p>
      <w:pPr>
        <w:pStyle w:val="13"/>
        <w:shd w:val="clear" w:color="auto" w:fill="FFFFFF"/>
        <w:spacing w:before="93" w:beforeAutospacing="0" w:after="0" w:afterAutospacing="0" w:line="600" w:lineRule="atLeast"/>
        <w:ind w:firstLine="640"/>
        <w:jc w:val="both"/>
        <w:rPr>
          <w:rFonts w:ascii="仿宋" w:hAnsi="仿宋" w:eastAsia="仿宋" w:cs="Times New Roman"/>
          <w:sz w:val="32"/>
          <w:szCs w:val="32"/>
        </w:rPr>
      </w:pPr>
      <w:r>
        <w:rPr>
          <w:rFonts w:hint="eastAsia" w:ascii="仿宋_GB2312" w:hAnsi="楷体" w:eastAsia="仿宋_GB2312" w:cs="楷体"/>
          <w:b/>
          <w:kern w:val="2"/>
          <w:sz w:val="32"/>
          <w:szCs w:val="32"/>
        </w:rPr>
        <w:t>（一）部门绩效目标：</w:t>
      </w:r>
      <w:r>
        <w:rPr>
          <w:rFonts w:hint="eastAsia" w:ascii="仿宋" w:hAnsi="仿宋" w:eastAsia="仿宋" w:cs="Times New Roman"/>
          <w:sz w:val="32"/>
          <w:szCs w:val="32"/>
        </w:rPr>
        <w:t>全力按照县委、县政府安排部署，加快推进水库建设，协助村两委抓好该村脱贫攻坚成效巩固工作，深入开展疫情防控、环境保护等重点工作。</w:t>
      </w:r>
    </w:p>
    <w:p>
      <w:pPr>
        <w:spacing w:line="560" w:lineRule="exact"/>
        <w:ind w:firstLine="643" w:firstLineChars="200"/>
        <w:rPr>
          <w:rFonts w:ascii="仿宋_GB2312" w:hAnsi="楷体" w:eastAsia="仿宋_GB2312" w:cs="楷体"/>
          <w:b/>
          <w:sz w:val="32"/>
          <w:szCs w:val="32"/>
        </w:rPr>
      </w:pPr>
      <w:r>
        <w:rPr>
          <w:rFonts w:hint="eastAsia" w:ascii="仿宋_GB2312" w:hAnsi="楷体" w:eastAsia="仿宋_GB2312" w:cs="楷体"/>
          <w:b/>
          <w:sz w:val="32"/>
          <w:szCs w:val="32"/>
        </w:rPr>
        <w:t>（二）绩效目标完成情况：</w:t>
      </w:r>
    </w:p>
    <w:p>
      <w:pPr>
        <w:spacing w:line="600" w:lineRule="exact"/>
        <w:ind w:firstLine="640"/>
        <w:jc w:val="left"/>
        <w:rPr>
          <w:rFonts w:ascii="仿宋_GB2312" w:eastAsia="仿宋_GB2312"/>
          <w:sz w:val="32"/>
          <w:szCs w:val="32"/>
        </w:rPr>
      </w:pPr>
      <w:r>
        <w:rPr>
          <w:rFonts w:hint="eastAsia" w:ascii="仿宋_GB2312" w:eastAsia="仿宋_GB2312"/>
          <w:b/>
          <w:sz w:val="32"/>
          <w:szCs w:val="32"/>
        </w:rPr>
        <w:t>1.数量指标：</w:t>
      </w:r>
      <w:r>
        <w:rPr>
          <w:rFonts w:hint="eastAsia" w:ascii="仿宋_GB2312" w:eastAsia="仿宋_GB2312"/>
          <w:sz w:val="32"/>
          <w:szCs w:val="32"/>
        </w:rPr>
        <w:t>全年完成投资1.54亿元，超目标计划2%。争取资金2.06亿元，超目标计划37%。2021年6月2日红鱼洞水库通过省水利厅组织导流洞封堵下闸蓄水验收，并正式蓄水。汛期大坝经受住了5次大暴雨考验，累计滞洪1.3亿立方米，削减最大洪峰流量1200立方米每秒，切实减轻了南江沿河沿线防汛压力。二是灌区工程加快推进的。全年掘进隧洞15公里，衬砌7公里。恩阳分干渠如期开工建设。三是征地移民搬迁安置有序推进。库区移民搬迁安置基本完成，2021年3月通过了省扶贫移民局组织的下闸蓄水阶段移民安置验收。</w:t>
      </w:r>
    </w:p>
    <w:p>
      <w:pPr>
        <w:ind w:firstLine="643" w:firstLineChars="200"/>
        <w:rPr>
          <w:rFonts w:ascii="仿宋_GB2312" w:eastAsia="仿宋_GB2312"/>
          <w:sz w:val="32"/>
          <w:szCs w:val="32"/>
        </w:rPr>
      </w:pPr>
      <w:r>
        <w:rPr>
          <w:rFonts w:hint="eastAsia" w:ascii="仿宋_GB2312" w:hAnsi="楷体" w:eastAsia="仿宋_GB2312" w:cs="楷体"/>
          <w:b/>
          <w:sz w:val="32"/>
          <w:szCs w:val="32"/>
        </w:rPr>
        <w:t>2.质量指标：</w:t>
      </w:r>
      <w:r>
        <w:rPr>
          <w:rFonts w:hint="eastAsia" w:ascii="仿宋_GB2312" w:eastAsia="仿宋_GB2312"/>
          <w:sz w:val="32"/>
          <w:szCs w:val="32"/>
        </w:rPr>
        <w:t>项目实施中红鱼洞水库运行保护中心加强对项目的监督管理，施工过程由第三方进行质量检测，确保了水库施工质量，并对已完工项目及时进行了验收，验收合格率达到100%。</w:t>
      </w:r>
    </w:p>
    <w:p>
      <w:pPr>
        <w:ind w:firstLine="643" w:firstLineChars="200"/>
        <w:rPr>
          <w:rFonts w:ascii="仿宋_GB2312" w:eastAsia="仿宋_GB2312"/>
          <w:color w:val="FF0000"/>
          <w:sz w:val="32"/>
          <w:szCs w:val="32"/>
        </w:rPr>
      </w:pPr>
      <w:r>
        <w:rPr>
          <w:rFonts w:hint="eastAsia" w:ascii="仿宋_GB2312" w:eastAsia="仿宋_GB2312"/>
          <w:b/>
          <w:sz w:val="32"/>
          <w:szCs w:val="32"/>
        </w:rPr>
        <w:t>3.时效指标：</w:t>
      </w:r>
      <w:r>
        <w:rPr>
          <w:rFonts w:hint="eastAsia" w:ascii="仿宋" w:hAnsi="仿宋" w:eastAsia="仿宋"/>
          <w:color w:val="000000"/>
          <w:sz w:val="32"/>
          <w:szCs w:val="32"/>
        </w:rPr>
        <w:t>上级累计下达红鱼洞水库投资计划31.89亿元，实际完成投资32.2亿元（概算外9.5亿元）。大坝枢纽工程已完工，通过水利厅正常蓄水位650米验收。渠系工程建设取得阶段成效，右总干渠1～4标、恩巴支渠相继开工，在建71公里的渠系工程累计掘进隧洞70公里，完成渡槽、倒虹管、明渠建设5.2公里。</w:t>
      </w:r>
    </w:p>
    <w:p>
      <w:pPr>
        <w:ind w:firstLine="643" w:firstLineChars="200"/>
        <w:rPr>
          <w:rFonts w:ascii="仿宋_GB2312" w:eastAsia="仿宋_GB2312"/>
          <w:sz w:val="32"/>
          <w:szCs w:val="32"/>
        </w:rPr>
      </w:pPr>
      <w:r>
        <w:rPr>
          <w:rFonts w:hint="eastAsia" w:ascii="仿宋_GB2312" w:eastAsia="仿宋_GB2312"/>
          <w:b/>
          <w:sz w:val="32"/>
          <w:szCs w:val="32"/>
        </w:rPr>
        <w:t>4.社会效益完成情况：</w:t>
      </w:r>
      <w:r>
        <w:rPr>
          <w:rFonts w:hint="eastAsia" w:ascii="仿宋_GB2312" w:eastAsia="仿宋_GB2312"/>
          <w:sz w:val="32"/>
          <w:szCs w:val="32"/>
        </w:rPr>
        <w:t>红鱼洞水库建设过程及完工后为库区及灌区带来良好的经社会效益。</w:t>
      </w:r>
      <w:r>
        <w:rPr>
          <w:rFonts w:hint="eastAsia" w:ascii="仿宋_GB2312" w:eastAsia="仿宋_GB2312"/>
          <w:b/>
          <w:sz w:val="32"/>
          <w:szCs w:val="32"/>
        </w:rPr>
        <w:t>一是</w:t>
      </w:r>
      <w:r>
        <w:rPr>
          <w:rFonts w:hint="eastAsia" w:ascii="仿宋_GB2312" w:eastAsia="仿宋_GB2312"/>
          <w:sz w:val="32"/>
          <w:szCs w:val="32"/>
        </w:rPr>
        <w:t>相关部门按时足额发放移民资金和移民的各项优惠政策，让库区移民群众生活和居住环境大为改善。</w:t>
      </w:r>
      <w:r>
        <w:rPr>
          <w:rFonts w:hint="eastAsia" w:ascii="仿宋_GB2312" w:eastAsia="仿宋_GB2312"/>
          <w:b/>
          <w:sz w:val="32"/>
          <w:szCs w:val="32"/>
        </w:rPr>
        <w:t>二是</w:t>
      </w:r>
      <w:r>
        <w:rPr>
          <w:rFonts w:hint="eastAsia" w:ascii="仿宋_GB2312" w:eastAsia="仿宋_GB2312"/>
          <w:sz w:val="32"/>
          <w:szCs w:val="32"/>
        </w:rPr>
        <w:t>水库建成后为整个巴中地区提供清洁安全的饮用水，让库区及灌区民众生活质量和生活品质大大提高。</w:t>
      </w:r>
      <w:r>
        <w:rPr>
          <w:rFonts w:hint="eastAsia" w:ascii="仿宋_GB2312" w:eastAsia="仿宋_GB2312"/>
          <w:b/>
          <w:sz w:val="32"/>
          <w:szCs w:val="32"/>
        </w:rPr>
        <w:t>三是</w:t>
      </w:r>
      <w:r>
        <w:rPr>
          <w:rFonts w:hint="eastAsia" w:ascii="仿宋_GB2312" w:eastAsia="仿宋_GB2312"/>
          <w:sz w:val="32"/>
          <w:szCs w:val="32"/>
        </w:rPr>
        <w:t>灌区基础设施建设改善了移民群众居住环境，解决了移民区受水源地保护制约有关产业发展的问题，促进移民区绿色环保发展，同时更好地保护了水库水源，保持库区周边的生态环境不断得到改善和提升。四是发挥防洪减灾效益。</w:t>
      </w:r>
    </w:p>
    <w:p>
      <w:pPr>
        <w:pStyle w:val="13"/>
        <w:shd w:val="clear" w:color="auto" w:fill="FFFFFF"/>
        <w:spacing w:before="93" w:beforeAutospacing="0" w:after="0" w:afterAutospacing="0" w:line="580" w:lineRule="atLeast"/>
        <w:ind w:firstLine="640"/>
        <w:rPr>
          <w:rFonts w:ascii="仿宋_GB2312" w:eastAsia="仿宋_GB2312"/>
          <w:sz w:val="32"/>
          <w:szCs w:val="32"/>
        </w:rPr>
      </w:pPr>
      <w:r>
        <w:rPr>
          <w:rFonts w:hint="eastAsia" w:ascii="仿宋_GB2312" w:eastAsia="仿宋_GB2312"/>
          <w:b/>
          <w:sz w:val="32"/>
          <w:szCs w:val="32"/>
        </w:rPr>
        <w:t>5.满意指标完成情况：</w:t>
      </w:r>
      <w:r>
        <w:rPr>
          <w:rFonts w:hint="eastAsia" w:ascii="仿宋_GB2312" w:eastAsia="仿宋_GB2312"/>
          <w:sz w:val="32"/>
          <w:szCs w:val="32"/>
        </w:rPr>
        <w:t>我中心征求了库区及灌区群众对水库建设的意见，群众满意率达到100%。</w:t>
      </w:r>
    </w:p>
    <w:p>
      <w:pPr>
        <w:pStyle w:val="13"/>
        <w:shd w:val="clear" w:color="auto" w:fill="FFFFFF"/>
        <w:spacing w:before="93" w:beforeAutospacing="0" w:after="0" w:afterAutospacing="0" w:line="580" w:lineRule="atLeast"/>
        <w:ind w:firstLine="640"/>
        <w:rPr>
          <w:rFonts w:ascii="微软雅黑" w:hAnsi="微软雅黑" w:eastAsia="微软雅黑"/>
          <w:color w:val="333333"/>
        </w:rPr>
      </w:pPr>
      <w:r>
        <w:rPr>
          <w:rFonts w:hint="eastAsia" w:ascii="仿宋" w:hAnsi="仿宋" w:eastAsia="仿宋"/>
          <w:color w:val="000000"/>
          <w:sz w:val="32"/>
          <w:szCs w:val="32"/>
          <w:shd w:val="clear" w:color="auto" w:fill="FFFFFF"/>
        </w:rPr>
        <w:t>（三）结果应用情况。</w:t>
      </w:r>
    </w:p>
    <w:p>
      <w:pPr>
        <w:pStyle w:val="13"/>
        <w:shd w:val="clear" w:color="auto" w:fill="FFFFFF"/>
        <w:spacing w:before="93" w:beforeAutospacing="0" w:after="0" w:afterAutospacing="0" w:line="560" w:lineRule="atLeast"/>
        <w:ind w:firstLine="640"/>
        <w:jc w:val="both"/>
        <w:rPr>
          <w:rFonts w:ascii="Times New Roman" w:hAnsi="Times New Roman" w:cs="Times New Roman"/>
          <w:color w:val="333333"/>
          <w:sz w:val="21"/>
          <w:szCs w:val="21"/>
        </w:rPr>
      </w:pPr>
      <w:r>
        <w:rPr>
          <w:rFonts w:hint="eastAsia" w:ascii="仿宋" w:hAnsi="仿宋" w:eastAsia="仿宋" w:cs="Times New Roman"/>
          <w:color w:val="000000"/>
          <w:sz w:val="32"/>
          <w:szCs w:val="32"/>
          <w:shd w:val="clear" w:color="auto" w:fill="FFFFFF"/>
        </w:rPr>
        <w:t>在整体支出完成后即对整体预算进行了自评，通过自评，</w:t>
      </w:r>
      <w:r>
        <w:rPr>
          <w:rFonts w:hint="eastAsia" w:ascii="仿宋" w:hAnsi="仿宋" w:eastAsia="仿宋" w:cs="Times New Roman"/>
          <w:color w:val="000000"/>
          <w:sz w:val="32"/>
          <w:szCs w:val="32"/>
        </w:rPr>
        <w:t>2021年根据年初工作规划及财政预算计划，完成了年度工作目标。部门整体支出管理情况得到提升，制度执行总体有效。</w:t>
      </w:r>
    </w:p>
    <w:p>
      <w:pPr>
        <w:pStyle w:val="13"/>
        <w:shd w:val="clear" w:color="auto" w:fill="FFFFFF"/>
        <w:spacing w:before="93" w:beforeAutospacing="0" w:after="0" w:afterAutospacing="0" w:line="580" w:lineRule="atLeast"/>
        <w:ind w:firstLine="640"/>
        <w:rPr>
          <w:rFonts w:ascii="微软雅黑" w:hAnsi="微软雅黑" w:eastAsia="微软雅黑"/>
          <w:color w:val="333333"/>
        </w:rPr>
      </w:pPr>
      <w:r>
        <w:rPr>
          <w:rFonts w:hint="eastAsia" w:ascii="仿宋" w:hAnsi="仿宋" w:eastAsia="仿宋"/>
          <w:color w:val="000000"/>
          <w:sz w:val="32"/>
          <w:szCs w:val="32"/>
        </w:rPr>
        <w:t>进一步优化支出结构，压缩一般性支出，坚决抵制铺张浪费行为，降低部门运行成本，合理调度预算资金，保证部门正常的工作运转，实现财政资金效益最大化。</w:t>
      </w:r>
    </w:p>
    <w:p>
      <w:pPr>
        <w:pStyle w:val="13"/>
        <w:shd w:val="clear" w:color="auto" w:fill="FFFFFF"/>
        <w:spacing w:before="93" w:beforeAutospacing="0" w:after="0" w:afterAutospacing="0" w:line="560" w:lineRule="atLeast"/>
        <w:ind w:firstLine="640"/>
        <w:jc w:val="both"/>
        <w:rPr>
          <w:rFonts w:ascii="仿宋" w:hAnsi="仿宋" w:eastAsia="仿宋" w:cs="Times New Roman"/>
          <w:color w:val="000000"/>
          <w:sz w:val="32"/>
          <w:szCs w:val="32"/>
        </w:rPr>
      </w:pPr>
      <w:r>
        <w:rPr>
          <w:rFonts w:hint="eastAsia" w:ascii="仿宋" w:hAnsi="仿宋" w:eastAsia="仿宋" w:cs="Times New Roman"/>
          <w:color w:val="000000"/>
          <w:sz w:val="32"/>
          <w:szCs w:val="32"/>
          <w:shd w:val="clear" w:color="auto" w:fill="FFFFFF"/>
        </w:rPr>
        <w:t>通过自评发现，制度执行仍需进一步强化，资金使用管理需进一步加强。</w:t>
      </w:r>
      <w:r>
        <w:rPr>
          <w:rFonts w:hint="eastAsia" w:ascii="仿宋" w:hAnsi="仿宋" w:eastAsia="仿宋" w:cs="Times New Roman"/>
          <w:color w:val="000000"/>
          <w:sz w:val="32"/>
          <w:szCs w:val="32"/>
        </w:rPr>
        <w:t>对此，我中心将继续加强内部财务管理制度落实力度，加强资金使用管理工作。</w:t>
      </w:r>
    </w:p>
    <w:p>
      <w:pPr>
        <w:pStyle w:val="13"/>
        <w:shd w:val="clear" w:color="auto" w:fill="FFFFFF"/>
        <w:spacing w:before="93" w:beforeAutospacing="0" w:after="0" w:afterAutospacing="0" w:line="580" w:lineRule="atLeast"/>
        <w:ind w:firstLine="640"/>
        <w:rPr>
          <w:rFonts w:ascii="微软雅黑" w:hAnsi="微软雅黑" w:eastAsia="微软雅黑"/>
          <w:color w:val="333333"/>
        </w:rPr>
      </w:pPr>
      <w:r>
        <w:rPr>
          <w:rFonts w:hint="eastAsia" w:ascii="黑体" w:hAnsi="黑体" w:eastAsia="黑体"/>
          <w:color w:val="000000"/>
          <w:sz w:val="32"/>
          <w:szCs w:val="32"/>
          <w:shd w:val="clear" w:color="auto" w:fill="FFFFFF"/>
        </w:rPr>
        <w:t>四、评价结论及建议</w:t>
      </w:r>
    </w:p>
    <w:p>
      <w:pPr>
        <w:pStyle w:val="13"/>
        <w:shd w:val="clear" w:color="auto" w:fill="FFFFFF"/>
        <w:spacing w:before="93" w:beforeAutospacing="0" w:after="0" w:afterAutospacing="0" w:line="580" w:lineRule="atLeast"/>
        <w:ind w:firstLine="640"/>
        <w:jc w:val="both"/>
        <w:rPr>
          <w:rFonts w:ascii="Times New Roman" w:hAnsi="Times New Roman" w:cs="Times New Roman"/>
          <w:color w:val="333333"/>
          <w:sz w:val="21"/>
          <w:szCs w:val="21"/>
        </w:rPr>
      </w:pPr>
      <w:r>
        <w:rPr>
          <w:rFonts w:hint="eastAsia" w:ascii="仿宋" w:hAnsi="仿宋" w:eastAsia="仿宋" w:cs="Times New Roman"/>
          <w:color w:val="000000"/>
          <w:sz w:val="32"/>
          <w:szCs w:val="32"/>
          <w:shd w:val="clear" w:color="auto" w:fill="FFFFFF"/>
        </w:rPr>
        <w:t>（一）评价结论。通过全面开展部门整体支出绩效评价，强化了支出绩效理念，切实发挥了财政资金的资源配置作用，保证了部门正常运转，加快推进了红鱼洞水库及灌区工程项目建设。</w:t>
      </w:r>
    </w:p>
    <w:p>
      <w:pPr>
        <w:pStyle w:val="13"/>
        <w:shd w:val="clear" w:color="auto" w:fill="FFFFFF"/>
        <w:spacing w:before="93" w:beforeAutospacing="0" w:after="0" w:afterAutospacing="0" w:line="580" w:lineRule="atLeast"/>
        <w:ind w:firstLine="640"/>
        <w:jc w:val="both"/>
        <w:rPr>
          <w:rFonts w:ascii="Times New Roman" w:hAnsi="Times New Roman" w:cs="Times New Roman"/>
          <w:color w:val="333333"/>
          <w:sz w:val="21"/>
          <w:szCs w:val="21"/>
        </w:rPr>
      </w:pPr>
      <w:r>
        <w:rPr>
          <w:rFonts w:hint="eastAsia" w:ascii="仿宋" w:hAnsi="仿宋" w:eastAsia="仿宋" w:cs="Times New Roman"/>
          <w:color w:val="000000"/>
          <w:sz w:val="32"/>
          <w:szCs w:val="32"/>
          <w:shd w:val="clear" w:color="auto" w:fill="FFFFFF"/>
        </w:rPr>
        <w:t>（二）存在问题。预算编制的合理性有待提高，预算编制工作需更细化。</w:t>
      </w:r>
    </w:p>
    <w:p>
      <w:pPr>
        <w:pStyle w:val="13"/>
        <w:shd w:val="clear" w:color="auto" w:fill="FFFFFF"/>
        <w:spacing w:before="93" w:beforeAutospacing="0" w:after="0" w:afterAutospacing="0" w:line="560" w:lineRule="atLeast"/>
        <w:ind w:firstLine="640"/>
        <w:jc w:val="both"/>
        <w:rPr>
          <w:rFonts w:ascii="仿宋" w:hAnsi="仿宋" w:eastAsia="仿宋" w:cs="Times New Roman"/>
          <w:color w:val="000000"/>
          <w:sz w:val="32"/>
          <w:szCs w:val="32"/>
          <w:shd w:val="clear" w:color="auto" w:fill="FFFFFF"/>
        </w:rPr>
      </w:pPr>
      <w:r>
        <w:rPr>
          <w:rFonts w:hint="eastAsia" w:ascii="仿宋" w:hAnsi="仿宋" w:eastAsia="仿宋" w:cs="Times New Roman"/>
          <w:color w:val="000000"/>
          <w:sz w:val="32"/>
          <w:szCs w:val="32"/>
          <w:shd w:val="clear" w:color="auto" w:fill="FFFFFF"/>
        </w:rPr>
        <w:t>（三）改进建议。细化预算编制工作，全面编制预算项目，优先保障固定的、相对刚性的费用支出项目，进一步提高预算编制的科学性、严谨性和可控性。</w:t>
      </w:r>
    </w:p>
    <w:p>
      <w:pPr>
        <w:widowControl/>
        <w:jc w:val="center"/>
        <w:rPr>
          <w:rFonts w:ascii="黑体" w:hAnsi="黑体" w:eastAsia="黑体"/>
          <w:color w:val="000000"/>
          <w:sz w:val="44"/>
          <w:szCs w:val="44"/>
        </w:rPr>
      </w:pPr>
      <w:bookmarkStart w:id="56" w:name="_Toc15396618"/>
    </w:p>
    <w:bookmarkEnd w:id="56"/>
    <w:p>
      <w:pPr>
        <w:widowControl/>
        <w:jc w:val="center"/>
        <w:rPr>
          <w:rFonts w:ascii="黑体" w:hAnsi="黑体" w:eastAsia="黑体"/>
          <w:color w:val="000000"/>
          <w:sz w:val="44"/>
          <w:szCs w:val="44"/>
        </w:rPr>
      </w:pPr>
      <w:bookmarkStart w:id="57" w:name="_Toc15396619"/>
    </w:p>
    <w:p>
      <w:pPr>
        <w:widowControl/>
        <w:rPr>
          <w:rFonts w:ascii="黑体" w:hAnsi="黑体" w:eastAsia="黑体"/>
          <w:color w:val="000000"/>
          <w:sz w:val="44"/>
          <w:szCs w:val="44"/>
        </w:rPr>
      </w:pPr>
    </w:p>
    <w:p>
      <w:pPr>
        <w:widowControl/>
        <w:rPr>
          <w:rFonts w:ascii="仿宋" w:hAnsi="仿宋" w:eastAsia="仿宋"/>
          <w:color w:val="000000"/>
          <w:kern w:val="0"/>
          <w:sz w:val="32"/>
          <w:szCs w:val="32"/>
          <w:shd w:val="clear" w:color="auto" w:fill="FFFFFF"/>
        </w:rPr>
      </w:pPr>
    </w:p>
    <w:p>
      <w:pPr>
        <w:widowControl/>
        <w:rPr>
          <w:rFonts w:ascii="仿宋" w:hAnsi="仿宋" w:eastAsia="仿宋"/>
          <w:color w:val="000000"/>
          <w:kern w:val="0"/>
          <w:sz w:val="32"/>
          <w:szCs w:val="32"/>
          <w:shd w:val="clear" w:color="auto" w:fill="FFFFFF"/>
        </w:rPr>
      </w:pPr>
    </w:p>
    <w:p>
      <w:pPr>
        <w:widowControl/>
        <w:rPr>
          <w:rFonts w:ascii="仿宋" w:hAnsi="仿宋" w:eastAsia="仿宋"/>
          <w:color w:val="000000"/>
          <w:kern w:val="0"/>
          <w:sz w:val="32"/>
          <w:szCs w:val="32"/>
          <w:shd w:val="clear" w:color="auto" w:fill="FFFFFF"/>
        </w:rPr>
      </w:pPr>
      <w:r>
        <w:rPr>
          <w:rFonts w:hint="eastAsia" w:ascii="仿宋" w:hAnsi="仿宋" w:eastAsia="仿宋"/>
          <w:color w:val="000000"/>
          <w:kern w:val="0"/>
          <w:sz w:val="32"/>
          <w:szCs w:val="32"/>
          <w:shd w:val="clear" w:color="auto" w:fill="FFFFFF"/>
        </w:rPr>
        <w:t>附件2</w:t>
      </w:r>
    </w:p>
    <w:p>
      <w:pPr>
        <w:spacing w:line="500" w:lineRule="exact"/>
        <w:ind w:firstLine="723" w:firstLineChars="200"/>
        <w:jc w:val="center"/>
        <w:rPr>
          <w:rFonts w:ascii="方正小标宋简体" w:eastAsia="方正小标宋简体"/>
          <w:b/>
          <w:color w:val="000000"/>
          <w:sz w:val="36"/>
          <w:szCs w:val="36"/>
        </w:rPr>
      </w:pPr>
      <w:r>
        <w:rPr>
          <w:rFonts w:hint="eastAsia" w:ascii="方正小标宋简体" w:eastAsia="方正小标宋简体"/>
          <w:b/>
          <w:color w:val="000000"/>
          <w:sz w:val="36"/>
          <w:szCs w:val="36"/>
        </w:rPr>
        <w:t>巴中市红鱼洞水库运行保护中心</w:t>
      </w:r>
    </w:p>
    <w:p>
      <w:pPr>
        <w:spacing w:line="500" w:lineRule="exact"/>
        <w:ind w:firstLine="723" w:firstLineChars="200"/>
        <w:jc w:val="center"/>
        <w:rPr>
          <w:rFonts w:ascii="方正小标宋简体" w:eastAsia="方正小标宋简体"/>
          <w:b/>
          <w:color w:val="000000"/>
          <w:sz w:val="36"/>
          <w:szCs w:val="36"/>
        </w:rPr>
      </w:pPr>
      <w:r>
        <w:rPr>
          <w:rFonts w:hint="eastAsia" w:ascii="方正小标宋简体" w:eastAsia="方正小标宋简体"/>
          <w:b/>
          <w:color w:val="000000"/>
          <w:sz w:val="36"/>
          <w:szCs w:val="36"/>
        </w:rPr>
        <w:t>驻村工作经费项目2021年绩效评价报告</w:t>
      </w:r>
    </w:p>
    <w:p>
      <w:pPr>
        <w:pStyle w:val="13"/>
        <w:shd w:val="clear" w:color="auto" w:fill="FFFFFF"/>
        <w:spacing w:before="93" w:beforeAutospacing="0" w:after="0" w:afterAutospacing="0" w:line="580" w:lineRule="atLeast"/>
        <w:ind w:firstLine="640"/>
        <w:rPr>
          <w:rFonts w:ascii="黑体" w:hAnsi="黑体" w:eastAsia="黑体"/>
          <w:color w:val="000000"/>
          <w:sz w:val="32"/>
          <w:szCs w:val="32"/>
          <w:shd w:val="clear" w:color="auto" w:fill="FFFFFF"/>
        </w:rPr>
      </w:pPr>
    </w:p>
    <w:p>
      <w:pPr>
        <w:pStyle w:val="13"/>
        <w:shd w:val="clear" w:color="auto" w:fill="FFFFFF"/>
        <w:spacing w:before="93" w:beforeAutospacing="0" w:after="0" w:afterAutospacing="0" w:line="580" w:lineRule="atLeast"/>
        <w:ind w:firstLine="640"/>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一、项目概况</w:t>
      </w:r>
    </w:p>
    <w:p>
      <w:pPr>
        <w:widowControl/>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(一)项目基本情况。</w:t>
      </w:r>
    </w:p>
    <w:p>
      <w:pPr>
        <w:widowControl/>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本项目主要依据</w:t>
      </w:r>
      <w:r>
        <w:rPr>
          <w:rFonts w:hint="eastAsia" w:ascii="仿宋" w:hAnsi="仿宋" w:eastAsia="仿宋"/>
          <w:color w:val="000000"/>
          <w:kern w:val="0"/>
          <w:sz w:val="32"/>
          <w:szCs w:val="32"/>
          <w:lang w:eastAsia="zh-CN"/>
        </w:rPr>
        <w:t>县委县政府</w:t>
      </w:r>
      <w:r>
        <w:rPr>
          <w:rFonts w:hint="eastAsia" w:ascii="仿宋" w:hAnsi="仿宋" w:eastAsia="仿宋"/>
          <w:color w:val="000000"/>
          <w:kern w:val="0"/>
          <w:sz w:val="32"/>
          <w:szCs w:val="32"/>
        </w:rPr>
        <w:t>关于强化贫困村驻村工作保障的要求及2021年度预算编制设立，由县财政局下达实施。</w:t>
      </w:r>
    </w:p>
    <w:p>
      <w:pPr>
        <w:widowControl/>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从办公、差旅费等资金需求上，保障本单位派驻驻村工作队队员扶贫工作正常开展。</w:t>
      </w:r>
    </w:p>
    <w:p>
      <w:pPr>
        <w:widowControl/>
        <w:ind w:left="709"/>
        <w:rPr>
          <w:rFonts w:ascii="仿宋" w:hAnsi="仿宋" w:eastAsia="仿宋"/>
          <w:color w:val="000000"/>
          <w:kern w:val="0"/>
          <w:sz w:val="32"/>
          <w:szCs w:val="32"/>
        </w:rPr>
      </w:pPr>
      <w:r>
        <w:rPr>
          <w:rFonts w:hint="eastAsia" w:ascii="仿宋" w:hAnsi="仿宋" w:eastAsia="仿宋"/>
          <w:color w:val="000000"/>
          <w:kern w:val="0"/>
          <w:sz w:val="32"/>
          <w:szCs w:val="32"/>
        </w:rPr>
        <w:t>(二)项目绩效目标.</w:t>
      </w:r>
    </w:p>
    <w:p>
      <w:pPr>
        <w:widowControl/>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1. 主要用于保障驻村工作队驻村工作正常开展。</w:t>
      </w:r>
    </w:p>
    <w:p>
      <w:pPr>
        <w:widowControl/>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 从办公、差旅费等资金需求上，保障本单位派驻驻村工作队队员扶贫工作正常开展。</w:t>
      </w:r>
    </w:p>
    <w:p>
      <w:pPr>
        <w:widowControl/>
        <w:ind w:left="709"/>
        <w:rPr>
          <w:rFonts w:ascii="仿宋" w:hAnsi="仿宋" w:eastAsia="仿宋"/>
          <w:color w:val="000000"/>
          <w:kern w:val="0"/>
          <w:sz w:val="32"/>
          <w:szCs w:val="32"/>
        </w:rPr>
      </w:pPr>
      <w:r>
        <w:rPr>
          <w:rFonts w:hint="eastAsia" w:ascii="仿宋" w:hAnsi="仿宋" w:eastAsia="仿宋"/>
          <w:color w:val="000000"/>
          <w:kern w:val="0"/>
          <w:sz w:val="32"/>
          <w:szCs w:val="32"/>
        </w:rPr>
        <w:t>(三)项目自评步骤及方法。</w:t>
      </w:r>
    </w:p>
    <w:p>
      <w:pPr>
        <w:widowControl/>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我单位根据绩效评价选点要求，对驻村工作开展了绩效评估。</w:t>
      </w:r>
    </w:p>
    <w:p>
      <w:pPr>
        <w:pStyle w:val="13"/>
        <w:shd w:val="clear" w:color="auto" w:fill="FFFFFF"/>
        <w:spacing w:before="93" w:beforeAutospacing="0" w:after="0" w:afterAutospacing="0" w:line="580" w:lineRule="atLeast"/>
        <w:ind w:firstLine="640"/>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二、项目资金申报及使用情况</w:t>
      </w:r>
    </w:p>
    <w:p>
      <w:pPr>
        <w:widowControl/>
        <w:ind w:left="709"/>
        <w:rPr>
          <w:rFonts w:ascii="仿宋" w:hAnsi="仿宋" w:eastAsia="仿宋"/>
          <w:color w:val="000000"/>
          <w:kern w:val="0"/>
          <w:sz w:val="32"/>
          <w:szCs w:val="32"/>
        </w:rPr>
      </w:pPr>
      <w:r>
        <w:rPr>
          <w:rFonts w:hint="eastAsia" w:ascii="仿宋" w:hAnsi="仿宋" w:eastAsia="仿宋"/>
          <w:color w:val="000000"/>
          <w:kern w:val="0"/>
          <w:sz w:val="32"/>
          <w:szCs w:val="32"/>
        </w:rPr>
        <w:t>(一)项目资金申报及批复情况。</w:t>
      </w:r>
    </w:p>
    <w:p>
      <w:pPr>
        <w:widowControl/>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项目资金按预算申报支付率为百分之百。</w:t>
      </w:r>
    </w:p>
    <w:p>
      <w:pPr>
        <w:widowControl/>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（二）项目财务管理情况</w:t>
      </w:r>
    </w:p>
    <w:p>
      <w:pPr>
        <w:widowControl/>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总体评价我单位财务管理制度健全，严格执行了财务管理制度，财务处理及时，会计核算规范。</w:t>
      </w:r>
    </w:p>
    <w:p>
      <w:pPr>
        <w:widowControl/>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（三）项目绩效情况.</w:t>
      </w:r>
    </w:p>
    <w:p>
      <w:pPr>
        <w:widowControl/>
        <w:ind w:firstLine="643" w:firstLineChars="200"/>
        <w:rPr>
          <w:rFonts w:ascii="仿宋" w:hAnsi="仿宋" w:eastAsia="仿宋"/>
          <w:color w:val="000000"/>
          <w:kern w:val="0"/>
          <w:sz w:val="32"/>
          <w:szCs w:val="32"/>
        </w:rPr>
      </w:pPr>
      <w:r>
        <w:rPr>
          <w:rFonts w:hint="eastAsia" w:ascii="仿宋" w:hAnsi="仿宋" w:eastAsia="仿宋"/>
          <w:b/>
          <w:color w:val="000000"/>
          <w:kern w:val="0"/>
          <w:sz w:val="32"/>
          <w:szCs w:val="32"/>
        </w:rPr>
        <w:t>1.项目决策。</w:t>
      </w:r>
      <w:r>
        <w:rPr>
          <w:rFonts w:hint="eastAsia" w:ascii="仿宋" w:hAnsi="仿宋" w:eastAsia="仿宋"/>
          <w:color w:val="000000"/>
          <w:kern w:val="0"/>
          <w:sz w:val="32"/>
          <w:szCs w:val="32"/>
        </w:rPr>
        <w:t>驻村工作队和第一书记工作经费是在2021年驻村工作队开展驻村帮扶工作的有力保障。绩效目标设置:保障本单位派驻新河村、梅岭村驻村工作队扶贫工作正常开展。</w:t>
      </w:r>
    </w:p>
    <w:p>
      <w:pPr>
        <w:widowControl/>
        <w:ind w:firstLine="643" w:firstLineChars="200"/>
        <w:rPr>
          <w:rFonts w:ascii="仿宋" w:hAnsi="仿宋" w:eastAsia="仿宋"/>
          <w:color w:val="000000"/>
          <w:kern w:val="0"/>
          <w:sz w:val="32"/>
          <w:szCs w:val="32"/>
        </w:rPr>
      </w:pPr>
      <w:r>
        <w:rPr>
          <w:rFonts w:hint="eastAsia" w:ascii="仿宋" w:hAnsi="仿宋" w:eastAsia="仿宋"/>
          <w:b/>
          <w:color w:val="000000"/>
          <w:kern w:val="0"/>
          <w:sz w:val="32"/>
          <w:szCs w:val="32"/>
        </w:rPr>
        <w:t>2.项目管理。</w:t>
      </w:r>
      <w:r>
        <w:rPr>
          <w:rFonts w:hint="eastAsia" w:ascii="仿宋" w:hAnsi="仿宋" w:eastAsia="仿宋"/>
          <w:color w:val="000000"/>
          <w:kern w:val="0"/>
          <w:sz w:val="32"/>
          <w:szCs w:val="32"/>
        </w:rPr>
        <w:t>县财政将经费按预算指标下单位，用于保障本单位派驻新河村、梅岭村工作队扶贫工作正常开展等，办公、差旅等费用按程序据实报账。</w:t>
      </w:r>
    </w:p>
    <w:p>
      <w:pPr>
        <w:widowControl/>
        <w:ind w:firstLine="643" w:firstLineChars="200"/>
        <w:rPr>
          <w:rFonts w:ascii="仿宋" w:hAnsi="仿宋" w:eastAsia="仿宋"/>
          <w:color w:val="000000"/>
          <w:kern w:val="0"/>
          <w:sz w:val="32"/>
          <w:szCs w:val="32"/>
        </w:rPr>
      </w:pPr>
      <w:r>
        <w:rPr>
          <w:rFonts w:hint="eastAsia" w:ascii="仿宋" w:hAnsi="仿宋" w:eastAsia="仿宋"/>
          <w:b/>
          <w:color w:val="000000"/>
          <w:kern w:val="0"/>
          <w:sz w:val="32"/>
          <w:szCs w:val="32"/>
        </w:rPr>
        <w:t>3.项目绩效。</w:t>
      </w:r>
      <w:r>
        <w:rPr>
          <w:rFonts w:hint="eastAsia" w:ascii="仿宋" w:hAnsi="仿宋" w:eastAsia="仿宋"/>
          <w:color w:val="000000"/>
          <w:kern w:val="0"/>
          <w:sz w:val="32"/>
          <w:szCs w:val="32"/>
        </w:rPr>
        <w:t>年度内，优化资金使用，资金全部投入保障本单位派驻新河村、梅岭村驻村工作队扶贫工作正常开展，100%做好群众工作让群众满意。</w:t>
      </w:r>
    </w:p>
    <w:p>
      <w:pPr>
        <w:pStyle w:val="13"/>
        <w:shd w:val="clear" w:color="auto" w:fill="FFFFFF"/>
        <w:spacing w:before="93" w:beforeAutospacing="0" w:after="0" w:afterAutospacing="0" w:line="580" w:lineRule="atLeast"/>
        <w:ind w:firstLine="640"/>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三、评价结论及建议</w:t>
      </w:r>
    </w:p>
    <w:p>
      <w:pPr>
        <w:widowControl/>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(一)评价结论。</w:t>
      </w:r>
    </w:p>
    <w:p>
      <w:pPr>
        <w:widowControl/>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本部门按要求对2021年驻村工作队和第一书记工作经费项目支出开展绩效自评，从评价情况来看，全年整体支出在预算支出的刚性约束下，较好地强化了预算执行，实现了绩效目标。</w:t>
      </w:r>
    </w:p>
    <w:p>
      <w:pPr>
        <w:widowControl/>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(二)存在的问题。</w:t>
      </w:r>
    </w:p>
    <w:p>
      <w:pPr>
        <w:widowControl/>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继续加强财务控制和管理。</w:t>
      </w:r>
    </w:p>
    <w:p>
      <w:pPr>
        <w:widowControl/>
        <w:ind w:firstLine="480" w:firstLineChars="150"/>
        <w:rPr>
          <w:rFonts w:ascii="仿宋" w:hAnsi="仿宋" w:eastAsia="仿宋"/>
          <w:color w:val="000000"/>
          <w:kern w:val="0"/>
          <w:sz w:val="32"/>
          <w:szCs w:val="32"/>
        </w:rPr>
      </w:pPr>
      <w:r>
        <w:rPr>
          <w:rFonts w:hint="eastAsia" w:ascii="仿宋" w:hAnsi="仿宋" w:eastAsia="仿宋"/>
          <w:color w:val="000000"/>
          <w:kern w:val="0"/>
          <w:sz w:val="32"/>
          <w:szCs w:val="32"/>
        </w:rPr>
        <w:t>（三）相关建议</w:t>
      </w:r>
    </w:p>
    <w:p>
      <w:pPr>
        <w:widowControl/>
        <w:ind w:firstLine="480" w:firstLineChars="150"/>
        <w:rPr>
          <w:rFonts w:ascii="仿宋" w:hAnsi="仿宋" w:eastAsia="仿宋"/>
          <w:color w:val="000000"/>
          <w:kern w:val="0"/>
          <w:sz w:val="32"/>
          <w:szCs w:val="32"/>
        </w:rPr>
      </w:pPr>
      <w:r>
        <w:rPr>
          <w:rFonts w:hint="eastAsia" w:ascii="仿宋" w:hAnsi="仿宋" w:eastAsia="仿宋"/>
          <w:color w:val="000000"/>
          <w:kern w:val="0"/>
          <w:sz w:val="32"/>
          <w:szCs w:val="32"/>
        </w:rPr>
        <w:t>强化预算执行，保障驻村工作队运转。</w:t>
      </w:r>
    </w:p>
    <w:p>
      <w:pPr>
        <w:pStyle w:val="3"/>
        <w:jc w:val="center"/>
        <w:rPr>
          <w:rStyle w:val="27"/>
          <w:rFonts w:ascii="黑体" w:hAnsi="黑体" w:eastAsia="黑体" w:cs="Times New Roman"/>
          <w:b/>
          <w:bCs w:val="0"/>
        </w:rPr>
      </w:pPr>
      <w:r>
        <w:rPr>
          <w:rStyle w:val="27"/>
          <w:rFonts w:hint="eastAsia" w:ascii="黑体" w:hAnsi="黑体" w:eastAsia="黑体" w:cs="Times New Roman"/>
          <w:b/>
          <w:bCs w:val="0"/>
        </w:rPr>
        <w:t>第五部分  附表</w:t>
      </w:r>
    </w:p>
    <w:p>
      <w:pPr>
        <w:pStyle w:val="3"/>
        <w:rPr>
          <w:rFonts w:ascii="仿宋" w:hAnsi="仿宋" w:eastAsia="仿宋"/>
          <w:color w:val="000000"/>
        </w:rPr>
      </w:pPr>
      <w:r>
        <w:rPr>
          <w:rFonts w:hint="eastAsia" w:ascii="仿宋" w:hAnsi="仿宋" w:eastAsia="仿宋"/>
          <w:b w:val="0"/>
          <w:color w:val="000000"/>
        </w:rPr>
        <w:t>一、收</w:t>
      </w:r>
      <w:r>
        <w:rPr>
          <w:rStyle w:val="18"/>
          <w:rFonts w:hint="eastAsia" w:ascii="仿宋" w:hAnsi="仿宋" w:eastAsia="仿宋"/>
          <w:b w:val="0"/>
          <w:bCs w:val="0"/>
        </w:rPr>
        <w:t>入支出决算总表</w:t>
      </w:r>
      <w:bookmarkEnd w:id="57"/>
    </w:p>
    <w:p>
      <w:pPr>
        <w:pStyle w:val="3"/>
        <w:rPr>
          <w:rFonts w:ascii="仿宋" w:hAnsi="仿宋" w:eastAsia="仿宋"/>
          <w:color w:val="000000"/>
        </w:rPr>
      </w:pPr>
      <w:bookmarkStart w:id="58" w:name="_Toc15396620"/>
      <w:r>
        <w:rPr>
          <w:rFonts w:hint="eastAsia" w:ascii="仿宋" w:hAnsi="仿宋" w:eastAsia="仿宋"/>
          <w:b w:val="0"/>
          <w:color w:val="000000"/>
        </w:rPr>
        <w:t>二、收</w:t>
      </w:r>
      <w:r>
        <w:rPr>
          <w:rStyle w:val="18"/>
          <w:rFonts w:hint="eastAsia" w:ascii="仿宋" w:hAnsi="仿宋" w:eastAsia="仿宋"/>
          <w:b w:val="0"/>
          <w:bCs w:val="0"/>
        </w:rPr>
        <w:t>入决算表</w:t>
      </w:r>
      <w:bookmarkEnd w:id="58"/>
    </w:p>
    <w:p>
      <w:pPr>
        <w:pStyle w:val="3"/>
        <w:rPr>
          <w:rFonts w:ascii="仿宋" w:hAnsi="仿宋" w:eastAsia="仿宋"/>
          <w:color w:val="000000"/>
        </w:rPr>
      </w:pPr>
      <w:bookmarkStart w:id="59" w:name="_Toc15396621"/>
      <w:r>
        <w:rPr>
          <w:rStyle w:val="18"/>
          <w:rFonts w:hint="eastAsia" w:ascii="仿宋" w:hAnsi="仿宋" w:eastAsia="仿宋"/>
          <w:b w:val="0"/>
          <w:bCs w:val="0"/>
        </w:rPr>
        <w:t>三、</w:t>
      </w:r>
      <w:r>
        <w:rPr>
          <w:rFonts w:hint="eastAsia" w:ascii="仿宋" w:hAnsi="仿宋" w:eastAsia="仿宋"/>
          <w:b w:val="0"/>
          <w:color w:val="000000"/>
        </w:rPr>
        <w:t>支</w:t>
      </w:r>
      <w:r>
        <w:rPr>
          <w:rStyle w:val="18"/>
          <w:rFonts w:hint="eastAsia" w:ascii="仿宋" w:hAnsi="仿宋" w:eastAsia="仿宋"/>
          <w:b w:val="0"/>
          <w:bCs w:val="0"/>
        </w:rPr>
        <w:t>出决算表</w:t>
      </w:r>
      <w:bookmarkEnd w:id="59"/>
    </w:p>
    <w:p>
      <w:pPr>
        <w:pStyle w:val="3"/>
        <w:rPr>
          <w:rFonts w:ascii="仿宋" w:hAnsi="仿宋" w:eastAsia="仿宋"/>
          <w:b w:val="0"/>
          <w:color w:val="000000"/>
        </w:rPr>
      </w:pPr>
      <w:bookmarkStart w:id="60" w:name="_Toc15396622"/>
      <w:r>
        <w:rPr>
          <w:rStyle w:val="18"/>
          <w:rFonts w:hint="eastAsia" w:ascii="仿宋" w:hAnsi="仿宋" w:eastAsia="仿宋"/>
          <w:b w:val="0"/>
          <w:bCs w:val="0"/>
        </w:rPr>
        <w:t>四、</w:t>
      </w:r>
      <w:r>
        <w:rPr>
          <w:rFonts w:hint="eastAsia" w:ascii="仿宋" w:hAnsi="仿宋" w:eastAsia="仿宋"/>
          <w:b w:val="0"/>
          <w:color w:val="000000"/>
        </w:rPr>
        <w:t>财</w:t>
      </w:r>
      <w:r>
        <w:rPr>
          <w:rStyle w:val="18"/>
          <w:rFonts w:hint="eastAsia" w:ascii="仿宋" w:hAnsi="仿宋" w:eastAsia="仿宋"/>
          <w:b w:val="0"/>
          <w:bCs w:val="0"/>
        </w:rPr>
        <w:t>政拨款收入支出决算总表</w:t>
      </w:r>
      <w:bookmarkEnd w:id="60"/>
    </w:p>
    <w:p>
      <w:pPr>
        <w:pStyle w:val="3"/>
        <w:rPr>
          <w:rStyle w:val="18"/>
          <w:rFonts w:ascii="仿宋" w:hAnsi="仿宋" w:eastAsia="仿宋"/>
          <w:b w:val="0"/>
          <w:bCs w:val="0"/>
        </w:rPr>
      </w:pPr>
      <w:bookmarkStart w:id="61" w:name="_Toc15396623"/>
      <w:r>
        <w:rPr>
          <w:rStyle w:val="18"/>
          <w:rFonts w:hint="eastAsia" w:ascii="仿宋" w:hAnsi="仿宋" w:eastAsia="仿宋"/>
          <w:b w:val="0"/>
          <w:bCs w:val="0"/>
        </w:rPr>
        <w:t>五、</w:t>
      </w:r>
      <w:r>
        <w:rPr>
          <w:rFonts w:hint="eastAsia" w:ascii="仿宋" w:hAnsi="仿宋" w:eastAsia="仿宋"/>
          <w:b w:val="0"/>
          <w:color w:val="000000"/>
        </w:rPr>
        <w:t>财</w:t>
      </w:r>
      <w:r>
        <w:rPr>
          <w:rStyle w:val="18"/>
          <w:rFonts w:hint="eastAsia" w:ascii="仿宋" w:hAnsi="仿宋" w:eastAsia="仿宋"/>
          <w:b w:val="0"/>
          <w:bCs w:val="0"/>
        </w:rPr>
        <w:t>政拨款支出决算明细表</w:t>
      </w:r>
      <w:bookmarkEnd w:id="61"/>
      <w:bookmarkStart w:id="62" w:name="_Toc15396624"/>
    </w:p>
    <w:p>
      <w:pPr>
        <w:pStyle w:val="3"/>
        <w:rPr>
          <w:rFonts w:ascii="仿宋" w:hAnsi="仿宋" w:eastAsia="仿宋"/>
          <w:color w:val="000000"/>
        </w:rPr>
      </w:pPr>
      <w:r>
        <w:rPr>
          <w:rStyle w:val="18"/>
          <w:rFonts w:hint="eastAsia" w:ascii="仿宋" w:hAnsi="仿宋" w:eastAsia="仿宋"/>
          <w:b w:val="0"/>
          <w:bCs w:val="0"/>
        </w:rPr>
        <w:t>六、</w:t>
      </w:r>
      <w:r>
        <w:rPr>
          <w:rFonts w:hint="eastAsia" w:ascii="仿宋" w:hAnsi="仿宋" w:eastAsia="仿宋"/>
          <w:b w:val="0"/>
          <w:color w:val="000000"/>
        </w:rPr>
        <w:t>一</w:t>
      </w:r>
      <w:r>
        <w:rPr>
          <w:rStyle w:val="18"/>
          <w:rFonts w:hint="eastAsia" w:ascii="仿宋" w:hAnsi="仿宋" w:eastAsia="仿宋"/>
          <w:b w:val="0"/>
          <w:bCs w:val="0"/>
        </w:rPr>
        <w:t>般公共预算财政拨款支出决算表</w:t>
      </w:r>
      <w:bookmarkEnd w:id="62"/>
    </w:p>
    <w:p>
      <w:pPr>
        <w:pStyle w:val="3"/>
        <w:rPr>
          <w:rFonts w:ascii="仿宋" w:hAnsi="仿宋" w:eastAsia="仿宋"/>
          <w:color w:val="000000"/>
        </w:rPr>
      </w:pPr>
      <w:bookmarkStart w:id="63" w:name="_Toc15396625"/>
      <w:r>
        <w:rPr>
          <w:rStyle w:val="18"/>
          <w:rFonts w:hint="eastAsia" w:ascii="仿宋" w:hAnsi="仿宋" w:eastAsia="仿宋"/>
          <w:b w:val="0"/>
          <w:bCs w:val="0"/>
        </w:rPr>
        <w:t>七、</w:t>
      </w:r>
      <w:r>
        <w:rPr>
          <w:rFonts w:hint="eastAsia" w:ascii="仿宋" w:hAnsi="仿宋" w:eastAsia="仿宋"/>
          <w:b w:val="0"/>
          <w:color w:val="000000"/>
        </w:rPr>
        <w:t>一</w:t>
      </w:r>
      <w:r>
        <w:rPr>
          <w:rStyle w:val="18"/>
          <w:rFonts w:hint="eastAsia" w:ascii="仿宋" w:hAnsi="仿宋" w:eastAsia="仿宋"/>
          <w:b w:val="0"/>
          <w:bCs w:val="0"/>
        </w:rPr>
        <w:t>般公共预算财政拨款支出决算明细表</w:t>
      </w:r>
      <w:bookmarkEnd w:id="63"/>
    </w:p>
    <w:p>
      <w:pPr>
        <w:pStyle w:val="3"/>
        <w:rPr>
          <w:rFonts w:ascii="仿宋" w:hAnsi="仿宋" w:eastAsia="仿宋"/>
          <w:color w:val="000000"/>
        </w:rPr>
      </w:pPr>
      <w:bookmarkStart w:id="64" w:name="_Toc15396626"/>
      <w:r>
        <w:rPr>
          <w:rStyle w:val="18"/>
          <w:rFonts w:hint="eastAsia" w:ascii="仿宋" w:hAnsi="仿宋" w:eastAsia="仿宋"/>
          <w:b w:val="0"/>
          <w:bCs w:val="0"/>
        </w:rPr>
        <w:t>八、</w:t>
      </w:r>
      <w:r>
        <w:rPr>
          <w:rFonts w:hint="eastAsia" w:ascii="仿宋" w:hAnsi="仿宋" w:eastAsia="仿宋"/>
          <w:b w:val="0"/>
          <w:color w:val="000000"/>
        </w:rPr>
        <w:t>一</w:t>
      </w:r>
      <w:r>
        <w:rPr>
          <w:rStyle w:val="18"/>
          <w:rFonts w:hint="eastAsia" w:ascii="仿宋" w:hAnsi="仿宋" w:eastAsia="仿宋"/>
          <w:b w:val="0"/>
          <w:bCs w:val="0"/>
        </w:rPr>
        <w:t>般公共预算财政拨款基本支出决算表</w:t>
      </w:r>
      <w:bookmarkEnd w:id="64"/>
    </w:p>
    <w:p>
      <w:pPr>
        <w:pStyle w:val="3"/>
        <w:rPr>
          <w:rFonts w:ascii="仿宋" w:hAnsi="仿宋" w:eastAsia="仿宋"/>
          <w:color w:val="000000"/>
        </w:rPr>
      </w:pPr>
      <w:bookmarkStart w:id="65" w:name="_Toc15396627"/>
      <w:r>
        <w:rPr>
          <w:rStyle w:val="18"/>
          <w:rFonts w:hint="eastAsia" w:ascii="仿宋" w:hAnsi="仿宋" w:eastAsia="仿宋"/>
          <w:b w:val="0"/>
          <w:bCs w:val="0"/>
        </w:rPr>
        <w:t>九、</w:t>
      </w:r>
      <w:r>
        <w:rPr>
          <w:rFonts w:hint="eastAsia" w:ascii="仿宋" w:hAnsi="仿宋" w:eastAsia="仿宋"/>
          <w:b w:val="0"/>
          <w:color w:val="000000"/>
        </w:rPr>
        <w:t>一</w:t>
      </w:r>
      <w:r>
        <w:rPr>
          <w:rStyle w:val="18"/>
          <w:rFonts w:hint="eastAsia" w:ascii="仿宋" w:hAnsi="仿宋" w:eastAsia="仿宋"/>
          <w:b w:val="0"/>
          <w:bCs w:val="0"/>
        </w:rPr>
        <w:t>般公共预算财政拨款项目支出决算表</w:t>
      </w:r>
      <w:bookmarkEnd w:id="65"/>
    </w:p>
    <w:p>
      <w:pPr>
        <w:pStyle w:val="3"/>
        <w:rPr>
          <w:rFonts w:ascii="仿宋" w:hAnsi="仿宋" w:eastAsia="仿宋"/>
          <w:color w:val="000000"/>
        </w:rPr>
      </w:pPr>
      <w:bookmarkStart w:id="66" w:name="_Toc15396628"/>
      <w:r>
        <w:rPr>
          <w:rStyle w:val="18"/>
          <w:rFonts w:hint="eastAsia" w:ascii="仿宋" w:hAnsi="仿宋" w:eastAsia="仿宋"/>
          <w:b w:val="0"/>
          <w:bCs w:val="0"/>
        </w:rPr>
        <w:t>十、</w:t>
      </w:r>
      <w:r>
        <w:rPr>
          <w:rFonts w:hint="eastAsia" w:ascii="仿宋" w:hAnsi="仿宋" w:eastAsia="仿宋"/>
          <w:b w:val="0"/>
          <w:color w:val="000000"/>
        </w:rPr>
        <w:t>一</w:t>
      </w:r>
      <w:r>
        <w:rPr>
          <w:rStyle w:val="18"/>
          <w:rFonts w:hint="eastAsia" w:ascii="仿宋" w:hAnsi="仿宋" w:eastAsia="仿宋"/>
          <w:b w:val="0"/>
          <w:bCs w:val="0"/>
        </w:rPr>
        <w:t>般公共预算财政拨款“三公”经费支出决算表</w:t>
      </w:r>
      <w:bookmarkEnd w:id="66"/>
    </w:p>
    <w:p>
      <w:pPr>
        <w:pStyle w:val="3"/>
        <w:rPr>
          <w:rFonts w:ascii="仿宋" w:hAnsi="仿宋" w:eastAsia="仿宋"/>
          <w:color w:val="000000"/>
        </w:rPr>
      </w:pPr>
      <w:bookmarkStart w:id="67" w:name="_Toc15396629"/>
      <w:r>
        <w:rPr>
          <w:rStyle w:val="18"/>
          <w:rFonts w:hint="eastAsia" w:ascii="仿宋" w:hAnsi="仿宋" w:eastAsia="仿宋"/>
          <w:b w:val="0"/>
          <w:bCs w:val="0"/>
        </w:rPr>
        <w:t>十一、</w:t>
      </w:r>
      <w:r>
        <w:rPr>
          <w:rFonts w:hint="eastAsia" w:ascii="仿宋" w:hAnsi="仿宋" w:eastAsia="仿宋"/>
          <w:b w:val="0"/>
          <w:color w:val="000000"/>
        </w:rPr>
        <w:t>政</w:t>
      </w:r>
      <w:r>
        <w:rPr>
          <w:rStyle w:val="18"/>
          <w:rFonts w:hint="eastAsia" w:ascii="仿宋" w:hAnsi="仿宋" w:eastAsia="仿宋"/>
          <w:b w:val="0"/>
          <w:bCs w:val="0"/>
        </w:rPr>
        <w:t>府性基金预算财政拨款收入支出决算表</w:t>
      </w:r>
      <w:bookmarkEnd w:id="67"/>
    </w:p>
    <w:p>
      <w:pPr>
        <w:pStyle w:val="3"/>
        <w:rPr>
          <w:rStyle w:val="18"/>
          <w:rFonts w:ascii="仿宋" w:hAnsi="仿宋" w:eastAsia="仿宋"/>
          <w:b w:val="0"/>
          <w:bCs w:val="0"/>
        </w:rPr>
      </w:pPr>
      <w:bookmarkStart w:id="68" w:name="_Toc15396630"/>
      <w:r>
        <w:rPr>
          <w:rStyle w:val="18"/>
          <w:rFonts w:hint="eastAsia" w:ascii="仿宋" w:hAnsi="仿宋" w:eastAsia="仿宋"/>
          <w:b w:val="0"/>
          <w:bCs w:val="0"/>
        </w:rPr>
        <w:t>十二、</w:t>
      </w:r>
      <w:r>
        <w:rPr>
          <w:rFonts w:hint="eastAsia" w:ascii="仿宋" w:hAnsi="仿宋" w:eastAsia="仿宋"/>
          <w:b w:val="0"/>
          <w:color w:val="000000"/>
        </w:rPr>
        <w:t>政</w:t>
      </w:r>
      <w:r>
        <w:rPr>
          <w:rStyle w:val="18"/>
          <w:rFonts w:hint="eastAsia" w:ascii="仿宋" w:hAnsi="仿宋" w:eastAsia="仿宋"/>
          <w:b w:val="0"/>
          <w:bCs w:val="0"/>
        </w:rPr>
        <w:t>府性基金预算财政拨款“三公”经费支出决算表</w:t>
      </w:r>
      <w:bookmarkEnd w:id="68"/>
    </w:p>
    <w:p>
      <w:pPr>
        <w:pStyle w:val="3"/>
        <w:rPr>
          <w:rStyle w:val="18"/>
          <w:rFonts w:ascii="仿宋" w:hAnsi="仿宋" w:eastAsia="仿宋"/>
          <w:b w:val="0"/>
          <w:bCs w:val="0"/>
        </w:rPr>
      </w:pPr>
      <w:r>
        <w:rPr>
          <w:rStyle w:val="18"/>
          <w:rFonts w:hint="eastAsia" w:ascii="仿宋" w:hAnsi="仿宋" w:eastAsia="仿宋"/>
          <w:b w:val="0"/>
          <w:bCs w:val="0"/>
        </w:rPr>
        <w:t>十三、国有资本经营预算财政拨款收入支出决算表</w:t>
      </w:r>
    </w:p>
    <w:p>
      <w:pPr>
        <w:pStyle w:val="3"/>
        <w:rPr>
          <w:rFonts w:ascii="仿宋" w:hAnsi="仿宋" w:eastAsia="仿宋"/>
          <w:b w:val="0"/>
          <w:bCs w:val="0"/>
        </w:rPr>
      </w:pPr>
      <w:r>
        <w:rPr>
          <w:rFonts w:hint="eastAsia" w:ascii="仿宋" w:hAnsi="仿宋" w:eastAsia="仿宋"/>
          <w:b w:val="0"/>
          <w:bCs w:val="0"/>
        </w:rPr>
        <w:t>十四、国有资本经营预算财政拨款支出决算表</w:t>
      </w:r>
    </w:p>
    <w:bookmarkEnd w:id="54"/>
    <w:p>
      <w:pPr>
        <w:widowControl/>
        <w:jc w:val="center"/>
        <w:rPr>
          <w:color w:val="333333"/>
          <w:szCs w:val="21"/>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9"/>
          <w:jc w:val="center"/>
        </w:pPr>
        <w:r>
          <w:fldChar w:fldCharType="begin"/>
        </w:r>
        <w:r>
          <w:instrText xml:space="preserve">PAGE   \* MERGEFORMAT</w:instrText>
        </w:r>
        <w:r>
          <w:fldChar w:fldCharType="separate"/>
        </w:r>
        <w:r>
          <w:rPr>
            <w:lang w:val="zh-CN"/>
          </w:rPr>
          <w:t>29</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JiY2IyOWJhYjhkNWFmNWE4ZTMzYzQwZGFhYmNhNDYifQ=="/>
  </w:docVars>
  <w:rsids>
    <w:rsidRoot w:val="00F1361C"/>
    <w:rsid w:val="000222C6"/>
    <w:rsid w:val="00023DB4"/>
    <w:rsid w:val="0002549F"/>
    <w:rsid w:val="000553C6"/>
    <w:rsid w:val="0006422A"/>
    <w:rsid w:val="0006487A"/>
    <w:rsid w:val="00065F8F"/>
    <w:rsid w:val="000768F2"/>
    <w:rsid w:val="0009184B"/>
    <w:rsid w:val="0009422D"/>
    <w:rsid w:val="0009593C"/>
    <w:rsid w:val="00096E69"/>
    <w:rsid w:val="000B047F"/>
    <w:rsid w:val="000B5923"/>
    <w:rsid w:val="000B5A48"/>
    <w:rsid w:val="000B60CB"/>
    <w:rsid w:val="000B6FF3"/>
    <w:rsid w:val="000C3467"/>
    <w:rsid w:val="000C3CA6"/>
    <w:rsid w:val="000D1267"/>
    <w:rsid w:val="000D1D50"/>
    <w:rsid w:val="000D5782"/>
    <w:rsid w:val="000E6613"/>
    <w:rsid w:val="000E7119"/>
    <w:rsid w:val="00114E9B"/>
    <w:rsid w:val="0014729F"/>
    <w:rsid w:val="00157BAB"/>
    <w:rsid w:val="001654D1"/>
    <w:rsid w:val="00180796"/>
    <w:rsid w:val="0018106D"/>
    <w:rsid w:val="001877A7"/>
    <w:rsid w:val="00190C8F"/>
    <w:rsid w:val="00191536"/>
    <w:rsid w:val="00196687"/>
    <w:rsid w:val="001B4A61"/>
    <w:rsid w:val="001C0962"/>
    <w:rsid w:val="001C1163"/>
    <w:rsid w:val="001D7531"/>
    <w:rsid w:val="001E737D"/>
    <w:rsid w:val="001F0592"/>
    <w:rsid w:val="001F7506"/>
    <w:rsid w:val="002006CD"/>
    <w:rsid w:val="00202B36"/>
    <w:rsid w:val="00204B7A"/>
    <w:rsid w:val="0021101A"/>
    <w:rsid w:val="00214D8F"/>
    <w:rsid w:val="00220536"/>
    <w:rsid w:val="00235629"/>
    <w:rsid w:val="00260C38"/>
    <w:rsid w:val="002616C0"/>
    <w:rsid w:val="002662AA"/>
    <w:rsid w:val="00280496"/>
    <w:rsid w:val="00292707"/>
    <w:rsid w:val="00295495"/>
    <w:rsid w:val="002B2613"/>
    <w:rsid w:val="002C45A6"/>
    <w:rsid w:val="002D6F3A"/>
    <w:rsid w:val="002F1818"/>
    <w:rsid w:val="002F2701"/>
    <w:rsid w:val="002F3283"/>
    <w:rsid w:val="002F3CDD"/>
    <w:rsid w:val="002F4480"/>
    <w:rsid w:val="002F567B"/>
    <w:rsid w:val="003216A9"/>
    <w:rsid w:val="0037013F"/>
    <w:rsid w:val="003766AC"/>
    <w:rsid w:val="00377F73"/>
    <w:rsid w:val="00380C92"/>
    <w:rsid w:val="003A484F"/>
    <w:rsid w:val="003B0BE0"/>
    <w:rsid w:val="003B0C1B"/>
    <w:rsid w:val="003B688C"/>
    <w:rsid w:val="003C0291"/>
    <w:rsid w:val="003C2E3E"/>
    <w:rsid w:val="003C39AE"/>
    <w:rsid w:val="003C7B60"/>
    <w:rsid w:val="003D1FB2"/>
    <w:rsid w:val="003D66DA"/>
    <w:rsid w:val="003E1310"/>
    <w:rsid w:val="003E6F55"/>
    <w:rsid w:val="00406254"/>
    <w:rsid w:val="004223DE"/>
    <w:rsid w:val="00434489"/>
    <w:rsid w:val="00437085"/>
    <w:rsid w:val="00443880"/>
    <w:rsid w:val="004464F4"/>
    <w:rsid w:val="00461154"/>
    <w:rsid w:val="00471401"/>
    <w:rsid w:val="00473F31"/>
    <w:rsid w:val="0047615A"/>
    <w:rsid w:val="00480051"/>
    <w:rsid w:val="0048263A"/>
    <w:rsid w:val="00487E5D"/>
    <w:rsid w:val="004A711F"/>
    <w:rsid w:val="004B199D"/>
    <w:rsid w:val="004B4690"/>
    <w:rsid w:val="004E0A2D"/>
    <w:rsid w:val="004E206B"/>
    <w:rsid w:val="004E6DF7"/>
    <w:rsid w:val="004E7664"/>
    <w:rsid w:val="004F0FBD"/>
    <w:rsid w:val="00503320"/>
    <w:rsid w:val="00505A47"/>
    <w:rsid w:val="00510D0A"/>
    <w:rsid w:val="00512E56"/>
    <w:rsid w:val="00512FDA"/>
    <w:rsid w:val="00520DA0"/>
    <w:rsid w:val="00520EA9"/>
    <w:rsid w:val="00523916"/>
    <w:rsid w:val="005664BB"/>
    <w:rsid w:val="0057481D"/>
    <w:rsid w:val="0058486E"/>
    <w:rsid w:val="005854CA"/>
    <w:rsid w:val="005D1C8B"/>
    <w:rsid w:val="005D5CED"/>
    <w:rsid w:val="005E062D"/>
    <w:rsid w:val="005E1E50"/>
    <w:rsid w:val="005F1A4C"/>
    <w:rsid w:val="00605688"/>
    <w:rsid w:val="006070AF"/>
    <w:rsid w:val="00607E6C"/>
    <w:rsid w:val="006101B1"/>
    <w:rsid w:val="00614E44"/>
    <w:rsid w:val="00622830"/>
    <w:rsid w:val="00624D3D"/>
    <w:rsid w:val="00625437"/>
    <w:rsid w:val="00630AEF"/>
    <w:rsid w:val="006325F8"/>
    <w:rsid w:val="00634C9A"/>
    <w:rsid w:val="006440E4"/>
    <w:rsid w:val="00645452"/>
    <w:rsid w:val="00653714"/>
    <w:rsid w:val="00655AA7"/>
    <w:rsid w:val="0066343B"/>
    <w:rsid w:val="00664777"/>
    <w:rsid w:val="00665527"/>
    <w:rsid w:val="00670117"/>
    <w:rsid w:val="006748A4"/>
    <w:rsid w:val="00683E73"/>
    <w:rsid w:val="00687F07"/>
    <w:rsid w:val="006A3141"/>
    <w:rsid w:val="006A5E34"/>
    <w:rsid w:val="006B2422"/>
    <w:rsid w:val="006B2B9A"/>
    <w:rsid w:val="006C1937"/>
    <w:rsid w:val="006F020C"/>
    <w:rsid w:val="007121FD"/>
    <w:rsid w:val="007127B7"/>
    <w:rsid w:val="007313A2"/>
    <w:rsid w:val="007416B6"/>
    <w:rsid w:val="00746F48"/>
    <w:rsid w:val="00747D14"/>
    <w:rsid w:val="007534F4"/>
    <w:rsid w:val="0075404D"/>
    <w:rsid w:val="0076182A"/>
    <w:rsid w:val="00767B7E"/>
    <w:rsid w:val="0077704C"/>
    <w:rsid w:val="007770C3"/>
    <w:rsid w:val="00784D24"/>
    <w:rsid w:val="00785FBA"/>
    <w:rsid w:val="00786283"/>
    <w:rsid w:val="00786E4A"/>
    <w:rsid w:val="007875EB"/>
    <w:rsid w:val="0079426B"/>
    <w:rsid w:val="007A62A5"/>
    <w:rsid w:val="007D312A"/>
    <w:rsid w:val="007D3F19"/>
    <w:rsid w:val="007E23B0"/>
    <w:rsid w:val="007F1991"/>
    <w:rsid w:val="007F2C2F"/>
    <w:rsid w:val="007F55FC"/>
    <w:rsid w:val="007F5665"/>
    <w:rsid w:val="007F77CD"/>
    <w:rsid w:val="00800112"/>
    <w:rsid w:val="00810792"/>
    <w:rsid w:val="00812B1C"/>
    <w:rsid w:val="008253BB"/>
    <w:rsid w:val="00835C48"/>
    <w:rsid w:val="0083706E"/>
    <w:rsid w:val="008423A5"/>
    <w:rsid w:val="00850625"/>
    <w:rsid w:val="0085188A"/>
    <w:rsid w:val="00851F21"/>
    <w:rsid w:val="00853718"/>
    <w:rsid w:val="00855221"/>
    <w:rsid w:val="00860645"/>
    <w:rsid w:val="00861D79"/>
    <w:rsid w:val="00871F71"/>
    <w:rsid w:val="00885AF4"/>
    <w:rsid w:val="00893339"/>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24A7"/>
    <w:rsid w:val="00954C49"/>
    <w:rsid w:val="0097099F"/>
    <w:rsid w:val="00970D7E"/>
    <w:rsid w:val="00971997"/>
    <w:rsid w:val="00971FFC"/>
    <w:rsid w:val="0098660A"/>
    <w:rsid w:val="00987457"/>
    <w:rsid w:val="0099307E"/>
    <w:rsid w:val="009931C3"/>
    <w:rsid w:val="009A6973"/>
    <w:rsid w:val="009B2C43"/>
    <w:rsid w:val="009B4EAE"/>
    <w:rsid w:val="009B7573"/>
    <w:rsid w:val="009C22F4"/>
    <w:rsid w:val="009C2E98"/>
    <w:rsid w:val="009D3447"/>
    <w:rsid w:val="009D4711"/>
    <w:rsid w:val="009F1185"/>
    <w:rsid w:val="009F18CD"/>
    <w:rsid w:val="009F2A13"/>
    <w:rsid w:val="00A04EB0"/>
    <w:rsid w:val="00A111A2"/>
    <w:rsid w:val="00A13CC1"/>
    <w:rsid w:val="00A16847"/>
    <w:rsid w:val="00A237D8"/>
    <w:rsid w:val="00A243B4"/>
    <w:rsid w:val="00A268C4"/>
    <w:rsid w:val="00A3037A"/>
    <w:rsid w:val="00A307CD"/>
    <w:rsid w:val="00A40A00"/>
    <w:rsid w:val="00A4142F"/>
    <w:rsid w:val="00A56C65"/>
    <w:rsid w:val="00A56DF2"/>
    <w:rsid w:val="00A67AB5"/>
    <w:rsid w:val="00A91760"/>
    <w:rsid w:val="00A93B00"/>
    <w:rsid w:val="00A93C21"/>
    <w:rsid w:val="00AA1262"/>
    <w:rsid w:val="00AC3C6A"/>
    <w:rsid w:val="00AD0B02"/>
    <w:rsid w:val="00AD5620"/>
    <w:rsid w:val="00AD7C1B"/>
    <w:rsid w:val="00AE16BA"/>
    <w:rsid w:val="00AE1EBE"/>
    <w:rsid w:val="00AF7BA1"/>
    <w:rsid w:val="00B03C9D"/>
    <w:rsid w:val="00B060AE"/>
    <w:rsid w:val="00B10517"/>
    <w:rsid w:val="00B14E76"/>
    <w:rsid w:val="00B161B8"/>
    <w:rsid w:val="00B2048C"/>
    <w:rsid w:val="00B310B9"/>
    <w:rsid w:val="00B35F3F"/>
    <w:rsid w:val="00B36CBB"/>
    <w:rsid w:val="00B425E0"/>
    <w:rsid w:val="00B440AA"/>
    <w:rsid w:val="00B44B70"/>
    <w:rsid w:val="00B53C56"/>
    <w:rsid w:val="00B61D6E"/>
    <w:rsid w:val="00B74645"/>
    <w:rsid w:val="00B77EA6"/>
    <w:rsid w:val="00B81598"/>
    <w:rsid w:val="00B841F1"/>
    <w:rsid w:val="00B944D6"/>
    <w:rsid w:val="00BA572C"/>
    <w:rsid w:val="00BB4DF0"/>
    <w:rsid w:val="00BC289F"/>
    <w:rsid w:val="00BC5361"/>
    <w:rsid w:val="00BC5460"/>
    <w:rsid w:val="00BC6B50"/>
    <w:rsid w:val="00BC7C17"/>
    <w:rsid w:val="00BD0E25"/>
    <w:rsid w:val="00BF5BD6"/>
    <w:rsid w:val="00C037BD"/>
    <w:rsid w:val="00C03E31"/>
    <w:rsid w:val="00C07054"/>
    <w:rsid w:val="00C073F8"/>
    <w:rsid w:val="00C24598"/>
    <w:rsid w:val="00C25470"/>
    <w:rsid w:val="00C25B9D"/>
    <w:rsid w:val="00C33E72"/>
    <w:rsid w:val="00C354B2"/>
    <w:rsid w:val="00C35554"/>
    <w:rsid w:val="00C42709"/>
    <w:rsid w:val="00C43512"/>
    <w:rsid w:val="00C533CC"/>
    <w:rsid w:val="00C5751C"/>
    <w:rsid w:val="00C60388"/>
    <w:rsid w:val="00C60C8E"/>
    <w:rsid w:val="00C61BFC"/>
    <w:rsid w:val="00C62B85"/>
    <w:rsid w:val="00C65438"/>
    <w:rsid w:val="00C91CBB"/>
    <w:rsid w:val="00CB7712"/>
    <w:rsid w:val="00CC09B6"/>
    <w:rsid w:val="00CC666F"/>
    <w:rsid w:val="00CD1E3F"/>
    <w:rsid w:val="00CD6BA1"/>
    <w:rsid w:val="00CE105D"/>
    <w:rsid w:val="00CE44F6"/>
    <w:rsid w:val="00CE49DA"/>
    <w:rsid w:val="00CE7B61"/>
    <w:rsid w:val="00D00095"/>
    <w:rsid w:val="00D11960"/>
    <w:rsid w:val="00D20620"/>
    <w:rsid w:val="00D26091"/>
    <w:rsid w:val="00D34E7C"/>
    <w:rsid w:val="00D35489"/>
    <w:rsid w:val="00D51276"/>
    <w:rsid w:val="00D7035F"/>
    <w:rsid w:val="00D777FA"/>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86AC4"/>
    <w:rsid w:val="00E93674"/>
    <w:rsid w:val="00EA010F"/>
    <w:rsid w:val="00EA416D"/>
    <w:rsid w:val="00ED1B63"/>
    <w:rsid w:val="00ED3C1F"/>
    <w:rsid w:val="00ED4085"/>
    <w:rsid w:val="00ED420E"/>
    <w:rsid w:val="00EE2F57"/>
    <w:rsid w:val="00EF4295"/>
    <w:rsid w:val="00EF4C34"/>
    <w:rsid w:val="00EF77C6"/>
    <w:rsid w:val="00EF7EE3"/>
    <w:rsid w:val="00F05438"/>
    <w:rsid w:val="00F1361C"/>
    <w:rsid w:val="00F160C7"/>
    <w:rsid w:val="00F356A7"/>
    <w:rsid w:val="00F36D8F"/>
    <w:rsid w:val="00F417B1"/>
    <w:rsid w:val="00F602DF"/>
    <w:rsid w:val="00F7478C"/>
    <w:rsid w:val="00F749A6"/>
    <w:rsid w:val="00F76947"/>
    <w:rsid w:val="00F81FD9"/>
    <w:rsid w:val="00F83EDE"/>
    <w:rsid w:val="00F841AA"/>
    <w:rsid w:val="00F96206"/>
    <w:rsid w:val="00FA23E8"/>
    <w:rsid w:val="00FB5F47"/>
    <w:rsid w:val="00FD3CC1"/>
    <w:rsid w:val="00FE2797"/>
    <w:rsid w:val="00FF1E02"/>
    <w:rsid w:val="00FF2589"/>
    <w:rsid w:val="00FF30B4"/>
    <w:rsid w:val="10C055FF"/>
    <w:rsid w:val="16BB723D"/>
    <w:rsid w:val="1CDFEA79"/>
    <w:rsid w:val="240371BF"/>
    <w:rsid w:val="29FD04D3"/>
    <w:rsid w:val="319F7F4E"/>
    <w:rsid w:val="3B990407"/>
    <w:rsid w:val="6CE312E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2"/>
    <w:semiHidden/>
    <w:unhideWhenUsed/>
    <w:qFormat/>
    <w:uiPriority w:val="99"/>
    <w:rPr>
      <w:rFonts w:ascii="宋体"/>
      <w:sz w:val="18"/>
      <w:szCs w:val="18"/>
    </w:rPr>
  </w:style>
  <w:style w:type="paragraph" w:styleId="6">
    <w:name w:val="Body Text"/>
    <w:basedOn w:val="1"/>
    <w:link w:val="24"/>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8">
    <w:name w:val="标题 2 Char"/>
    <w:basedOn w:val="15"/>
    <w:link w:val="3"/>
    <w:qFormat/>
    <w:uiPriority w:val="9"/>
    <w:rPr>
      <w:rFonts w:asciiTheme="majorHAnsi" w:hAnsiTheme="majorHAnsi" w:eastAsiaTheme="majorEastAsia" w:cstheme="majorBidi"/>
      <w:b/>
      <w:bCs/>
      <w:kern w:val="2"/>
      <w:sz w:val="32"/>
      <w:szCs w:val="32"/>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6"/>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2"/>
    <w:qFormat/>
    <w:uiPriority w:val="9"/>
    <w:rPr>
      <w:rFonts w:ascii="Times New Roman" w:hAnsi="Times New Roman"/>
      <w:b/>
      <w:bCs/>
      <w:kern w:val="44"/>
      <w:sz w:val="44"/>
      <w:szCs w:val="44"/>
    </w:rPr>
  </w:style>
  <w:style w:type="paragraph" w:customStyle="1" w:styleId="28">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4"/>
    <w:qFormat/>
    <w:uiPriority w:val="9"/>
    <w:rPr>
      <w:rFonts w:ascii="Times New Roman" w:hAnsi="Times New Roman"/>
      <w:b/>
      <w:bCs/>
      <w:kern w:val="2"/>
      <w:sz w:val="32"/>
      <w:szCs w:val="32"/>
    </w:rPr>
  </w:style>
  <w:style w:type="paragraph" w:customStyle="1" w:styleId="31">
    <w:name w:val="默认段落字体 Para Char Char Char Char Char Char Char Char Char Char Char Char Char Char Char1 Char Char Char Char"/>
    <w:basedOn w:val="5"/>
    <w:qFormat/>
    <w:uiPriority w:val="0"/>
    <w:pPr>
      <w:shd w:val="clear" w:color="auto" w:fill="000080"/>
      <w:adjustRightInd w:val="0"/>
      <w:spacing w:line="436" w:lineRule="exact"/>
      <w:ind w:left="357"/>
      <w:jc w:val="left"/>
      <w:outlineLvl w:val="3"/>
    </w:pPr>
    <w:rPr>
      <w:rFonts w:ascii="Times New Roman"/>
      <w:sz w:val="21"/>
      <w:szCs w:val="24"/>
    </w:rPr>
  </w:style>
  <w:style w:type="character" w:customStyle="1" w:styleId="32">
    <w:name w:val="文档结构图 Char"/>
    <w:basedOn w:val="15"/>
    <w:link w:val="5"/>
    <w:semiHidden/>
    <w:qFormat/>
    <w:uiPriority w:val="99"/>
    <w:rPr>
      <w:rFonts w:ascii="宋体" w:hAnsi="Times New Roman"/>
      <w:kern w:val="2"/>
      <w:sz w:val="18"/>
      <w:szCs w:val="18"/>
    </w:rPr>
  </w:style>
  <w:style w:type="paragraph" w:customStyle="1" w:styleId="3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invertIfNegative val="0"/>
          <c:dLbls>
            <c:delete val="1"/>
          </c:dLbls>
          <c:cat>
            <c:strRef>
              <c:f>Sheet1!$A$2:$A$3</c:f>
              <c:strCache>
                <c:ptCount val="2"/>
                <c:pt idx="0">
                  <c:v>收入</c:v>
                </c:pt>
                <c:pt idx="1">
                  <c:v>支出</c:v>
                </c:pt>
              </c:strCache>
            </c:strRef>
          </c:cat>
          <c:val>
            <c:numRef>
              <c:f>Sheet1!$B$2:$B$3</c:f>
              <c:numCache>
                <c:formatCode>General</c:formatCode>
                <c:ptCount val="2"/>
                <c:pt idx="0">
                  <c:v>21163.59</c:v>
                </c:pt>
                <c:pt idx="1">
                  <c:v>21163.59</c:v>
                </c:pt>
              </c:numCache>
            </c:numRef>
          </c:val>
        </c:ser>
        <c:ser>
          <c:idx val="1"/>
          <c:order val="1"/>
          <c:tx>
            <c:strRef>
              <c:f>Sheet1!$C$1</c:f>
              <c:strCache>
                <c:ptCount val="1"/>
                <c:pt idx="0">
                  <c:v>2020年</c:v>
                </c:pt>
              </c:strCache>
            </c:strRef>
          </c:tx>
          <c:invertIfNegative val="0"/>
          <c:dLbls>
            <c:delete val="1"/>
          </c:dLbls>
          <c:cat>
            <c:strRef>
              <c:f>Sheet1!$A$2:$A$3</c:f>
              <c:strCache>
                <c:ptCount val="2"/>
                <c:pt idx="0">
                  <c:v>收入</c:v>
                </c:pt>
                <c:pt idx="1">
                  <c:v>支出</c:v>
                </c:pt>
              </c:strCache>
            </c:strRef>
          </c:cat>
          <c:val>
            <c:numRef>
              <c:f>Sheet1!$C$2:$C$3</c:f>
              <c:numCache>
                <c:formatCode>General</c:formatCode>
                <c:ptCount val="2"/>
                <c:pt idx="0">
                  <c:v>7609.23</c:v>
                </c:pt>
                <c:pt idx="1">
                  <c:v>7609.23</c:v>
                </c:pt>
              </c:numCache>
            </c:numRef>
          </c:val>
        </c:ser>
        <c:dLbls>
          <c:showLegendKey val="0"/>
          <c:showVal val="0"/>
          <c:showCatName val="0"/>
          <c:showSerName val="0"/>
          <c:showPercent val="0"/>
          <c:showBubbleSize val="0"/>
        </c:dLbls>
        <c:gapWidth val="150"/>
        <c:axId val="245794688"/>
        <c:axId val="245796224"/>
      </c:barChart>
      <c:catAx>
        <c:axId val="2457946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5796224"/>
        <c:crosses val="autoZero"/>
        <c:auto val="1"/>
        <c:lblAlgn val="ctr"/>
        <c:lblOffset val="100"/>
        <c:noMultiLvlLbl val="0"/>
      </c:catAx>
      <c:valAx>
        <c:axId val="24579622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579468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一般公共预算财政拨款收入</c:v>
                </c:pt>
                <c:pt idx="1">
                  <c:v>政府性基金预算财政拨款收入</c:v>
                </c:pt>
                <c:pt idx="2">
                  <c:v>上级补助收入</c:v>
                </c:pt>
                <c:pt idx="3">
                  <c:v>事业收入</c:v>
                </c:pt>
                <c:pt idx="4">
                  <c:v>经营收入</c:v>
                </c:pt>
              </c:strCache>
            </c:strRef>
          </c:cat>
          <c:val>
            <c:numRef>
              <c:f>Sheet1!$B$2:$B$6</c:f>
              <c:numCache>
                <c:formatCode>General</c:formatCode>
                <c:ptCount val="5"/>
                <c:pt idx="0">
                  <c:v>2863.59</c:v>
                </c:pt>
                <c:pt idx="1">
                  <c:v>18300</c:v>
                </c:pt>
                <c:pt idx="2">
                  <c:v>0</c:v>
                </c:pt>
                <c:pt idx="3">
                  <c:v>0</c:v>
                </c:pt>
                <c:pt idx="4">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563.59</c:v>
                </c:pt>
                <c:pt idx="1">
                  <c:v>20600</c:v>
                </c:pt>
                <c:pt idx="2">
                  <c:v>0</c:v>
                </c:pt>
                <c:pt idx="3">
                  <c:v>0</c:v>
                </c:pt>
                <c:pt idx="4">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invertIfNegative val="0"/>
          <c:dLbls>
            <c:delete val="1"/>
          </c:dLbls>
          <c:cat>
            <c:strRef>
              <c:f>Sheet1!$A$2:$A$3</c:f>
              <c:strCache>
                <c:ptCount val="2"/>
                <c:pt idx="0">
                  <c:v>收入</c:v>
                </c:pt>
                <c:pt idx="1">
                  <c:v>支出</c:v>
                </c:pt>
              </c:strCache>
            </c:strRef>
          </c:cat>
          <c:val>
            <c:numRef>
              <c:f>Sheet1!$B$2:$B$3</c:f>
              <c:numCache>
                <c:formatCode>General</c:formatCode>
                <c:ptCount val="2"/>
                <c:pt idx="0">
                  <c:v>21163.59</c:v>
                </c:pt>
                <c:pt idx="1">
                  <c:v>21163.59</c:v>
                </c:pt>
              </c:numCache>
            </c:numRef>
          </c:val>
        </c:ser>
        <c:ser>
          <c:idx val="1"/>
          <c:order val="1"/>
          <c:tx>
            <c:strRef>
              <c:f>Sheet1!$C$1</c:f>
              <c:strCache>
                <c:ptCount val="1"/>
                <c:pt idx="0">
                  <c:v>2020年</c:v>
                </c:pt>
              </c:strCache>
            </c:strRef>
          </c:tx>
          <c:invertIfNegative val="0"/>
          <c:dLbls>
            <c:delete val="1"/>
          </c:dLbls>
          <c:cat>
            <c:strRef>
              <c:f>Sheet1!$A$2:$A$3</c:f>
              <c:strCache>
                <c:ptCount val="2"/>
                <c:pt idx="0">
                  <c:v>收入</c:v>
                </c:pt>
                <c:pt idx="1">
                  <c:v>支出</c:v>
                </c:pt>
              </c:strCache>
            </c:strRef>
          </c:cat>
          <c:val>
            <c:numRef>
              <c:f>Sheet1!$C$2:$C$3</c:f>
              <c:numCache>
                <c:formatCode>General</c:formatCode>
                <c:ptCount val="2"/>
                <c:pt idx="0">
                  <c:v>7609.23</c:v>
                </c:pt>
                <c:pt idx="1">
                  <c:v>7609.23</c:v>
                </c:pt>
              </c:numCache>
            </c:numRef>
          </c:val>
        </c:ser>
        <c:dLbls>
          <c:showLegendKey val="0"/>
          <c:showVal val="0"/>
          <c:showCatName val="0"/>
          <c:showSerName val="0"/>
          <c:showPercent val="0"/>
          <c:showBubbleSize val="0"/>
        </c:dLbls>
        <c:gapWidth val="150"/>
        <c:axId val="267094656"/>
        <c:axId val="246310016"/>
      </c:barChart>
      <c:catAx>
        <c:axId val="26709465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6310016"/>
        <c:crosses val="autoZero"/>
        <c:auto val="1"/>
        <c:lblAlgn val="ctr"/>
        <c:lblOffset val="100"/>
        <c:noMultiLvlLbl val="0"/>
      </c:catAx>
      <c:valAx>
        <c:axId val="2463100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70946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invertIfNegative val="0"/>
          <c:dLbls>
            <c:delete val="1"/>
          </c:dLbls>
          <c:cat>
            <c:strRef>
              <c:f>Sheet1!$A$2</c:f>
              <c:strCache>
                <c:ptCount val="1"/>
                <c:pt idx="0">
                  <c:v>一般公共预算财政拨款支出</c:v>
                </c:pt>
              </c:strCache>
            </c:strRef>
          </c:cat>
          <c:val>
            <c:numRef>
              <c:f>Sheet1!$B$2</c:f>
              <c:numCache>
                <c:formatCode>General</c:formatCode>
                <c:ptCount val="1"/>
                <c:pt idx="0">
                  <c:v>2863.59</c:v>
                </c:pt>
              </c:numCache>
            </c:numRef>
          </c:val>
        </c:ser>
        <c:ser>
          <c:idx val="1"/>
          <c:order val="1"/>
          <c:tx>
            <c:strRef>
              <c:f>Sheet1!$C$1</c:f>
              <c:strCache>
                <c:ptCount val="1"/>
                <c:pt idx="0">
                  <c:v>2020年</c:v>
                </c:pt>
              </c:strCache>
            </c:strRef>
          </c:tx>
          <c:invertIfNegative val="0"/>
          <c:dLbls>
            <c:delete val="1"/>
          </c:dLbls>
          <c:cat>
            <c:strRef>
              <c:f>Sheet1!$A$2</c:f>
              <c:strCache>
                <c:ptCount val="1"/>
                <c:pt idx="0">
                  <c:v>一般公共预算财政拨款支出</c:v>
                </c:pt>
              </c:strCache>
            </c:strRef>
          </c:cat>
          <c:val>
            <c:numRef>
              <c:f>Sheet1!$C$2</c:f>
              <c:numCache>
                <c:formatCode>General</c:formatCode>
                <c:ptCount val="1"/>
                <c:pt idx="0">
                  <c:v>3809.23</c:v>
                </c:pt>
              </c:numCache>
            </c:numRef>
          </c:val>
        </c:ser>
        <c:dLbls>
          <c:showLegendKey val="0"/>
          <c:showVal val="0"/>
          <c:showCatName val="0"/>
          <c:showSerName val="0"/>
          <c:showPercent val="0"/>
          <c:showBubbleSize val="0"/>
        </c:dLbls>
        <c:gapWidth val="150"/>
        <c:axId val="251205120"/>
        <c:axId val="251206656"/>
      </c:barChart>
      <c:catAx>
        <c:axId val="2512051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1206656"/>
        <c:crosses val="autoZero"/>
        <c:auto val="1"/>
        <c:lblAlgn val="ctr"/>
        <c:lblOffset val="100"/>
        <c:noMultiLvlLbl val="0"/>
      </c:catAx>
      <c:valAx>
        <c:axId val="2512066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120512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Lbls>
            <c:delete val="1"/>
          </c:dLbls>
          <c:cat>
            <c:strRef>
              <c:f>Sheet1!$A$2:$A$5</c:f>
              <c:strCache>
                <c:ptCount val="4"/>
                <c:pt idx="0">
                  <c:v>社会保障和就业支出</c:v>
                </c:pt>
                <c:pt idx="1">
                  <c:v>医疗卫生支出</c:v>
                </c:pt>
                <c:pt idx="2">
                  <c:v>住房保障支出</c:v>
                </c:pt>
                <c:pt idx="3">
                  <c:v>农林水支出</c:v>
                </c:pt>
              </c:strCache>
            </c:strRef>
          </c:cat>
          <c:val>
            <c:numRef>
              <c:f>Sheet1!$B$2:$B$5</c:f>
              <c:numCache>
                <c:formatCode>General</c:formatCode>
                <c:ptCount val="4"/>
                <c:pt idx="0">
                  <c:v>49.38</c:v>
                </c:pt>
                <c:pt idx="1">
                  <c:v>26.21</c:v>
                </c:pt>
                <c:pt idx="2">
                  <c:v>32.06</c:v>
                </c:pt>
                <c:pt idx="3">
                  <c:v>3705.56</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c:v>
                </c:pt>
              </c:strCache>
            </c:strRef>
          </c:tx>
          <c:explosion val="0"/>
          <c:dPt>
            <c:idx val="0"/>
            <c:bubble3D val="0"/>
          </c:dPt>
          <c:dPt>
            <c:idx val="1"/>
            <c:bubble3D val="0"/>
          </c:dPt>
          <c:dPt>
            <c:idx val="2"/>
            <c:bubble3D val="0"/>
          </c:dPt>
          <c:dPt>
            <c:idx val="3"/>
            <c:bubble3D val="0"/>
          </c:dPt>
          <c:dLbls>
            <c:delete val="1"/>
          </c:dLbls>
          <c:cat>
            <c:strRef>
              <c:f>Sheet1!$A$2:$A$5</c:f>
              <c:strCache>
                <c:ptCount val="4"/>
                <c:pt idx="0">
                  <c:v>因公出国（境）费</c:v>
                </c:pt>
                <c:pt idx="1">
                  <c:v>公务用车运行购置费</c:v>
                </c:pt>
                <c:pt idx="2">
                  <c:v>公务用车运行维护费</c:v>
                </c:pt>
                <c:pt idx="3">
                  <c:v>公务接待费</c:v>
                </c:pt>
              </c:strCache>
            </c:strRef>
          </c:cat>
          <c:val>
            <c:numRef>
              <c:f>Sheet1!$B$2:$B$5</c:f>
              <c:numCache>
                <c:formatCode>General</c:formatCode>
                <c:ptCount val="4"/>
                <c:pt idx="0">
                  <c:v>0</c:v>
                </c:pt>
                <c:pt idx="1">
                  <c:v>0</c:v>
                </c:pt>
                <c:pt idx="2">
                  <c:v>2.27</c:v>
                </c:pt>
                <c:pt idx="3">
                  <c:v>0.61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29</Pages>
  <Words>9821</Words>
  <Characters>10754</Characters>
  <Lines>79</Lines>
  <Paragraphs>22</Paragraphs>
  <TotalTime>756</TotalTime>
  <ScaleCrop>false</ScaleCrop>
  <LinksUpToDate>false</LinksUpToDate>
  <CharactersWithSpaces>10800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dell</cp:lastModifiedBy>
  <cp:lastPrinted>2020-08-24T10:48:00Z</cp:lastPrinted>
  <dcterms:modified xsi:type="dcterms:W3CDTF">2023-09-04T06:19:59Z</dcterms:modified>
  <dc:title>四川省***</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3A36D2A2D18543EDA8947E394C758177_12</vt:lpwstr>
  </property>
</Properties>
</file>