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ascii="方正小标宋简体" w:hAnsi="宋体" w:eastAsia="方正小标宋简体"/>
          <w:b/>
          <w:color w:val="000000"/>
          <w:sz w:val="72"/>
          <w:szCs w:val="72"/>
        </w:rPr>
      </w:pPr>
      <w:bookmarkStart w:id="1" w:name="_Toc15396475"/>
      <w:bookmarkStart w:id="2" w:name="_Toc15396597"/>
      <w:bookmarkStart w:id="3" w:name="_Toc15378441"/>
      <w:bookmarkStart w:id="4" w:name="_Toc15377425"/>
      <w:bookmarkStart w:id="5" w:name="_Toc15377193"/>
      <w:r>
        <w:rPr>
          <w:rFonts w:ascii="方正小标宋简体" w:hAnsi="黑体" w:eastAsia="方正小标宋简体"/>
          <w:b/>
          <w:color w:val="000000"/>
          <w:sz w:val="72"/>
          <w:szCs w:val="72"/>
        </w:rPr>
        <w:t>20</w:t>
      </w:r>
      <w:r>
        <w:rPr>
          <w:rFonts w:hint="eastAsia" w:ascii="方正小标宋简体" w:hAnsi="黑体" w:eastAsia="方正小标宋简体"/>
          <w:b/>
          <w:color w:val="000000"/>
          <w:sz w:val="72"/>
          <w:szCs w:val="72"/>
        </w:rPr>
        <w:t>21</w:t>
      </w:r>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ascii="方正小标宋简体" w:hAnsi="宋体" w:eastAsia="方正小标宋简体"/>
          <w:b/>
          <w:color w:val="000000"/>
          <w:sz w:val="72"/>
          <w:szCs w:val="72"/>
        </w:rPr>
      </w:pPr>
      <w:bookmarkStart w:id="6" w:name="_Toc15377426"/>
      <w:bookmarkStart w:id="7" w:name="_Toc15396476"/>
      <w:bookmarkStart w:id="8" w:name="_Toc15378442"/>
      <w:bookmarkStart w:id="9" w:name="_Toc15377194"/>
      <w:bookmarkStart w:id="10" w:name="_Toc15396598"/>
      <w:r>
        <w:rPr>
          <w:rFonts w:hint="eastAsia" w:ascii="方正小标宋简体" w:hAnsi="宋体" w:eastAsia="方正小标宋简体"/>
          <w:b/>
          <w:color w:val="000000"/>
          <w:sz w:val="72"/>
          <w:szCs w:val="72"/>
        </w:rPr>
        <w:t>南江县</w:t>
      </w:r>
      <w:bookmarkEnd w:id="0"/>
      <w:bookmarkStart w:id="11" w:name="_Toc15306268"/>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南江县工商联</w:t>
      </w: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color w:val="000000"/>
          <w:sz w:val="48"/>
          <w:szCs w:val="48"/>
        </w:rPr>
        <w:t>目录</w:t>
      </w:r>
    </w:p>
    <w:p>
      <w:pPr>
        <w:widowControl/>
        <w:jc w:val="center"/>
        <w:rPr>
          <w:rFonts w:ascii="黑体" w:hAnsi="黑体" w:eastAsia="黑体"/>
          <w:sz w:val="28"/>
          <w:szCs w:val="28"/>
        </w:rPr>
      </w:pPr>
    </w:p>
    <w:p>
      <w:bookmarkStart w:id="61" w:name="_GoBack"/>
      <w:bookmarkEnd w:id="61"/>
    </w:p>
    <w:p>
      <w:pPr>
        <w:pStyle w:val="10"/>
        <w:adjustRightInd w:val="0"/>
        <w:snapToGrid w:val="0"/>
        <w:spacing w:before="0" w:line="640" w:lineRule="exact"/>
        <w:ind w:firstLine="320" w:firstLineChars="100"/>
        <w:jc w:val="left"/>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部门概况</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一、基本职能及主要工作</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二、机构设置</w:t>
      </w:r>
    </w:p>
    <w:p>
      <w:pPr>
        <w:pStyle w:val="10"/>
        <w:adjustRightInd w:val="0"/>
        <w:snapToGrid w:val="0"/>
        <w:spacing w:before="0" w:line="640" w:lineRule="exact"/>
        <w:ind w:firstLine="320" w:firstLineChars="100"/>
        <w:jc w:val="left"/>
        <w:rPr>
          <w:rFonts w:ascii="黑体" w:hAnsi="黑体" w:eastAsia="黑体"/>
          <w:sz w:val="32"/>
          <w:szCs w:val="32"/>
        </w:rPr>
      </w:pPr>
      <w:r>
        <w:rPr>
          <w:rFonts w:hint="eastAsia" w:ascii="黑体" w:hAnsi="黑体" w:eastAsia="黑体"/>
          <w:sz w:val="32"/>
          <w:szCs w:val="32"/>
        </w:rPr>
        <w:t>第二部分 部门决算情况说明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一、收入支出决算总体情况说明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二、收入决算情况说明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三、支出决算情况说明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四、财政拨款收入支出决算总体情况说明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五、一般公共预算财政拨款支出决算情况说明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六、一般公共预算财政拨款基本支出决算情况说明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七、“三公”经费财政拨款支出决算情况说明</w:t>
      </w:r>
    </w:p>
    <w:p>
      <w:pPr>
        <w:pStyle w:val="11"/>
        <w:adjustRightInd w:val="0"/>
        <w:snapToGrid w:val="0"/>
        <w:spacing w:line="640" w:lineRule="exact"/>
        <w:jc w:val="left"/>
        <w:rPr>
          <w:rFonts w:ascii="楷体_GB2312" w:hAnsi="仿宋" w:eastAsia="楷体_GB2312"/>
          <w:sz w:val="32"/>
          <w:szCs w:val="32"/>
        </w:rPr>
      </w:pPr>
      <w:r>
        <w:rPr>
          <w:rFonts w:hint="eastAsia" w:ascii="楷体_GB2312" w:eastAsia="楷体_GB2312"/>
          <w:sz w:val="32"/>
          <w:szCs w:val="32"/>
        </w:rPr>
        <w:t>八、政府性基金预算支出决算情况说明</w:t>
      </w:r>
    </w:p>
    <w:p>
      <w:pPr>
        <w:pStyle w:val="11"/>
        <w:adjustRightInd w:val="0"/>
        <w:snapToGrid w:val="0"/>
        <w:spacing w:line="640" w:lineRule="exact"/>
        <w:ind w:leftChars="0"/>
        <w:jc w:val="left"/>
        <w:rPr>
          <w:rFonts w:ascii="楷体_GB2312" w:hAnsi="仿宋" w:eastAsia="楷体_GB2312"/>
          <w:sz w:val="32"/>
          <w:szCs w:val="32"/>
        </w:rPr>
      </w:pPr>
      <w:r>
        <w:rPr>
          <w:rFonts w:hint="eastAsia" w:ascii="楷体_GB2312" w:hAnsi="仿宋" w:eastAsia="楷体_GB2312"/>
          <w:sz w:val="32"/>
          <w:szCs w:val="32"/>
        </w:rPr>
        <w:t>九、</w:t>
      </w:r>
      <w:r>
        <w:rPr>
          <w:rFonts w:hint="eastAsia" w:ascii="楷体_GB2312" w:eastAsia="楷体_GB2312"/>
          <w:sz w:val="32"/>
          <w:szCs w:val="32"/>
        </w:rPr>
        <w:t xml:space="preserve"> 国有资本经营预算支出决算情况说明</w:t>
      </w:r>
    </w:p>
    <w:p>
      <w:pPr>
        <w:adjustRightInd w:val="0"/>
        <w:snapToGrid w:val="0"/>
        <w:spacing w:line="640" w:lineRule="exact"/>
        <w:ind w:firstLine="480" w:firstLineChars="150"/>
        <w:jc w:val="left"/>
        <w:rPr>
          <w:rFonts w:ascii="仿宋" w:hAnsi="仿宋" w:eastAsia="仿宋"/>
          <w:sz w:val="32"/>
          <w:szCs w:val="32"/>
        </w:rPr>
      </w:pPr>
      <w:r>
        <w:rPr>
          <w:rStyle w:val="16"/>
          <w:rFonts w:hint="eastAsia" w:ascii="楷体_GB2312" w:hAnsi="仿宋" w:eastAsia="楷体_GB2312"/>
          <w:color w:val="000000"/>
          <w:sz w:val="32"/>
          <w:szCs w:val="32"/>
          <w:u w:val="none"/>
        </w:rPr>
        <w:t>十、</w:t>
      </w:r>
      <w:r>
        <w:rPr>
          <w:rFonts w:hint="eastAsia" w:ascii="楷体_GB2312" w:eastAsia="楷体_GB2312"/>
          <w:sz w:val="32"/>
          <w:szCs w:val="32"/>
        </w:rPr>
        <w:t>其他重要事项的情况说明</w:t>
      </w:r>
      <w:r>
        <w:rPr>
          <w:rFonts w:ascii="仿宋" w:hAnsi="仿宋" w:eastAsia="仿宋"/>
          <w:sz w:val="32"/>
          <w:szCs w:val="32"/>
        </w:rPr>
        <w:tab/>
      </w:r>
    </w:p>
    <w:p>
      <w:pPr>
        <w:pStyle w:val="10"/>
        <w:adjustRightInd w:val="0"/>
        <w:snapToGrid w:val="0"/>
        <w:spacing w:before="0" w:line="640" w:lineRule="exact"/>
        <w:ind w:firstLine="320" w:firstLineChars="100"/>
        <w:jc w:val="left"/>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pStyle w:val="10"/>
        <w:adjustRightInd w:val="0"/>
        <w:snapToGrid w:val="0"/>
        <w:spacing w:before="0" w:line="640" w:lineRule="exact"/>
        <w:ind w:firstLine="320" w:firstLineChars="100"/>
        <w:jc w:val="left"/>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附件</w:t>
      </w:r>
    </w:p>
    <w:p>
      <w:pPr>
        <w:pStyle w:val="11"/>
        <w:adjustRightInd w:val="0"/>
        <w:snapToGrid w:val="0"/>
        <w:spacing w:line="640" w:lineRule="exact"/>
        <w:jc w:val="left"/>
        <w:rPr>
          <w:rFonts w:ascii="仿宋" w:hAnsi="仿宋" w:eastAsia="仿宋"/>
          <w:sz w:val="32"/>
          <w:szCs w:val="32"/>
        </w:rPr>
      </w:pPr>
      <w:r>
        <w:rPr>
          <w:rFonts w:hint="eastAsia"/>
          <w:sz w:val="32"/>
          <w:szCs w:val="32"/>
        </w:rPr>
        <w:t>附件</w:t>
      </w:r>
      <w:r>
        <w:rPr>
          <w:sz w:val="32"/>
          <w:szCs w:val="32"/>
        </w:rPr>
        <w:t>1</w:t>
      </w:r>
    </w:p>
    <w:p>
      <w:pPr>
        <w:pStyle w:val="11"/>
        <w:adjustRightInd w:val="0"/>
        <w:snapToGrid w:val="0"/>
        <w:spacing w:line="640" w:lineRule="exact"/>
        <w:jc w:val="left"/>
        <w:rPr>
          <w:rFonts w:ascii="仿宋" w:hAnsi="仿宋" w:eastAsia="仿宋"/>
          <w:sz w:val="32"/>
          <w:szCs w:val="32"/>
        </w:rPr>
      </w:pPr>
      <w:r>
        <w:rPr>
          <w:rFonts w:hint="eastAsia"/>
          <w:sz w:val="32"/>
          <w:szCs w:val="32"/>
        </w:rPr>
        <w:t>附件</w:t>
      </w:r>
      <w:r>
        <w:rPr>
          <w:sz w:val="32"/>
          <w:szCs w:val="32"/>
        </w:rPr>
        <w:t>2</w:t>
      </w:r>
    </w:p>
    <w:p>
      <w:pPr>
        <w:pStyle w:val="10"/>
        <w:adjustRightInd w:val="0"/>
        <w:snapToGrid w:val="0"/>
        <w:spacing w:before="0" w:line="640" w:lineRule="exact"/>
        <w:ind w:firstLine="320" w:firstLineChars="100"/>
        <w:jc w:val="left"/>
        <w:rPr>
          <w:rFonts w:ascii="黑体" w:hAnsi="黑体" w:eastAsia="黑体"/>
          <w:sz w:val="32"/>
          <w:szCs w:val="32"/>
        </w:rPr>
      </w:pPr>
      <w:r>
        <w:rPr>
          <w:rFonts w:hint="eastAsia" w:ascii="黑体" w:hAnsi="黑体" w:eastAsia="黑体"/>
          <w:sz w:val="32"/>
          <w:szCs w:val="32"/>
        </w:rPr>
        <w:t>第五部分</w:t>
      </w:r>
      <w:r>
        <w:rPr>
          <w:rFonts w:ascii="黑体" w:hAnsi="黑体" w:eastAsia="黑体"/>
          <w:sz w:val="32"/>
          <w:szCs w:val="32"/>
        </w:rPr>
        <w:t xml:space="preserve"> </w:t>
      </w:r>
      <w:r>
        <w:rPr>
          <w:rFonts w:hint="eastAsia" w:ascii="黑体" w:hAnsi="黑体" w:eastAsia="黑体"/>
          <w:sz w:val="32"/>
          <w:szCs w:val="32"/>
        </w:rPr>
        <w:t>附表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一、收入支出决算总表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二、收入决算表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三、支出决算表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四、财政拨款收入支出决算总表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五、财政拨款支出决算明细表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六、一般公共预算财政拨款支出决算表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七、一般公共预算财政拨款支出决算明细表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八、一般公共预算财政拨款基本支出决算表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九、一般公共预算财政拨款项目支出决算表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十、一般公共预算财政拨款“三公”经费支出决算表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十一、政府性基金预算财政拨款收入支出决算表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十二、政府性基金预算财政拨款“三公”经费支出决算表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十三、国有资本经营预算财政拨款收入支出决算表</w:t>
      </w:r>
    </w:p>
    <w:p>
      <w:pPr>
        <w:pStyle w:val="11"/>
        <w:adjustRightInd w:val="0"/>
        <w:snapToGrid w:val="0"/>
        <w:spacing w:line="640" w:lineRule="exact"/>
        <w:jc w:val="left"/>
        <w:rPr>
          <w:rFonts w:ascii="仿宋" w:hAnsi="仿宋" w:eastAsia="仿宋"/>
          <w:sz w:val="32"/>
          <w:szCs w:val="32"/>
        </w:rPr>
      </w:pPr>
      <w:r>
        <w:rPr>
          <w:rFonts w:hint="eastAsia" w:ascii="楷体_GB2312" w:hAnsi="仿宋" w:eastAsia="楷体_GB2312"/>
          <w:sz w:val="32"/>
          <w:szCs w:val="32"/>
        </w:rPr>
        <w:t>十四、国有资本经营预算财政拨款支出决算表</w:t>
      </w:r>
    </w:p>
    <w:p>
      <w:pPr>
        <w:widowControl/>
        <w:spacing w:line="576" w:lineRule="exact"/>
        <w:jc w:val="center"/>
        <w:rPr>
          <w:rFonts w:ascii="黑体" w:hAnsi="黑体" w:eastAsia="黑体"/>
          <w:sz w:val="44"/>
          <w:szCs w:val="44"/>
        </w:rPr>
      </w:pPr>
    </w:p>
    <w:p>
      <w:pPr>
        <w:widowControl/>
        <w:spacing w:line="576" w:lineRule="exact"/>
        <w:jc w:val="center"/>
        <w:rPr>
          <w:rFonts w:ascii="黑体" w:hAnsi="黑体" w:eastAsia="黑体"/>
          <w:sz w:val="44"/>
          <w:szCs w:val="44"/>
        </w:rPr>
      </w:pPr>
    </w:p>
    <w:p>
      <w:pPr>
        <w:widowControl/>
        <w:spacing w:line="576" w:lineRule="exact"/>
        <w:jc w:val="center"/>
        <w:rPr>
          <w:rFonts w:ascii="黑体" w:hAnsi="黑体" w:eastAsia="黑体"/>
          <w:sz w:val="44"/>
          <w:szCs w:val="44"/>
        </w:rPr>
      </w:pPr>
    </w:p>
    <w:p>
      <w:pPr>
        <w:widowControl/>
        <w:spacing w:line="576" w:lineRule="exact"/>
        <w:jc w:val="center"/>
        <w:rPr>
          <w:rFonts w:ascii="黑体" w:hAnsi="黑体" w:eastAsia="黑体"/>
          <w:sz w:val="44"/>
          <w:szCs w:val="44"/>
        </w:rPr>
      </w:pPr>
    </w:p>
    <w:p>
      <w:pPr>
        <w:widowControl/>
        <w:spacing w:line="576" w:lineRule="exact"/>
        <w:jc w:val="center"/>
        <w:rPr>
          <w:rFonts w:ascii="黑体" w:hAnsi="黑体" w:eastAsia="黑体"/>
          <w:sz w:val="44"/>
          <w:szCs w:val="44"/>
        </w:rPr>
      </w:pPr>
    </w:p>
    <w:p>
      <w:pPr>
        <w:widowControl/>
        <w:spacing w:line="576" w:lineRule="exact"/>
        <w:jc w:val="center"/>
        <w:rPr>
          <w:rFonts w:ascii="黑体" w:hAnsi="黑体" w:eastAsia="黑体"/>
          <w:sz w:val="44"/>
          <w:szCs w:val="44"/>
        </w:rPr>
      </w:pPr>
    </w:p>
    <w:p>
      <w:pPr>
        <w:widowControl/>
        <w:spacing w:line="576" w:lineRule="exact"/>
        <w:jc w:val="center"/>
        <w:rPr>
          <w:rFonts w:ascii="黑体" w:hAnsi="黑体" w:eastAsia="黑体"/>
          <w:sz w:val="44"/>
          <w:szCs w:val="44"/>
        </w:rPr>
      </w:pPr>
    </w:p>
    <w:p>
      <w:pPr>
        <w:widowControl/>
        <w:spacing w:line="520" w:lineRule="exact"/>
        <w:jc w:val="center"/>
        <w:rPr>
          <w:rStyle w:val="18"/>
          <w:rFonts w:ascii="黑体" w:hAnsi="黑体" w:eastAsia="黑体"/>
          <w:b w:val="0"/>
        </w:rPr>
      </w:pPr>
      <w:r>
        <w:rPr>
          <w:rFonts w:hint="eastAsia" w:ascii="黑体" w:hAnsi="黑体" w:eastAsia="黑体"/>
          <w:sz w:val="44"/>
          <w:szCs w:val="44"/>
        </w:rPr>
        <w:t>第一部分</w:t>
      </w:r>
      <w:r>
        <w:rPr>
          <w:rFonts w:ascii="黑体" w:hAnsi="黑体" w:eastAsia="黑体"/>
          <w:sz w:val="44"/>
          <w:szCs w:val="44"/>
        </w:rPr>
        <w:t xml:space="preserve"> </w:t>
      </w:r>
      <w:r>
        <w:rPr>
          <w:rStyle w:val="18"/>
          <w:rFonts w:hint="eastAsia" w:ascii="黑体" w:hAnsi="黑体" w:eastAsia="黑体"/>
          <w:b w:val="0"/>
        </w:rPr>
        <w:t>部门概况</w:t>
      </w:r>
      <w:bookmarkEnd w:id="12"/>
      <w:bookmarkEnd w:id="13"/>
    </w:p>
    <w:p>
      <w:pPr>
        <w:pStyle w:val="3"/>
        <w:numPr>
          <w:ilvl w:val="0"/>
          <w:numId w:val="1"/>
        </w:numPr>
        <w:spacing w:before="0" w:after="0" w:line="520" w:lineRule="exact"/>
        <w:rPr>
          <w:rStyle w:val="17"/>
          <w:rFonts w:ascii="黑体" w:hAnsi="黑体" w:eastAsia="黑体"/>
          <w:b w:val="0"/>
          <w:bCs w:val="0"/>
        </w:rPr>
      </w:pPr>
      <w:r>
        <w:rPr>
          <w:rFonts w:hint="eastAsia" w:ascii="黑体" w:hAnsi="黑体" w:eastAsia="黑体"/>
          <w:color w:val="000000"/>
        </w:rPr>
        <w:t>基</w:t>
      </w:r>
      <w:r>
        <w:rPr>
          <w:rStyle w:val="17"/>
          <w:rFonts w:hint="eastAsia" w:ascii="黑体" w:hAnsi="黑体" w:eastAsia="黑体"/>
          <w:b w:val="0"/>
          <w:bCs w:val="0"/>
        </w:rPr>
        <w:t>本职能及主要工作</w:t>
      </w:r>
    </w:p>
    <w:p>
      <w:pPr>
        <w:spacing w:line="520" w:lineRule="exact"/>
        <w:rPr>
          <w:rFonts w:ascii="黑体" w:hAnsi="黑体" w:eastAsia="黑体"/>
          <w:sz w:val="32"/>
          <w:szCs w:val="32"/>
        </w:rPr>
      </w:pPr>
      <w:r>
        <w:t xml:space="preserve">   </w:t>
      </w:r>
      <w:r>
        <w:rPr>
          <w:sz w:val="32"/>
          <w:szCs w:val="32"/>
        </w:rPr>
        <w:t xml:space="preserve">  </w:t>
      </w:r>
      <w:r>
        <w:rPr>
          <w:rFonts w:ascii="黑体" w:hAnsi="黑体" w:eastAsia="黑体"/>
          <w:sz w:val="32"/>
          <w:szCs w:val="32"/>
        </w:rPr>
        <w:t xml:space="preserve"> </w:t>
      </w:r>
      <w:r>
        <w:rPr>
          <w:rFonts w:hint="eastAsia" w:ascii="黑体" w:hAnsi="黑体" w:eastAsia="黑体"/>
          <w:sz w:val="32"/>
          <w:szCs w:val="32"/>
        </w:rPr>
        <w:t>（一）基本职能</w:t>
      </w:r>
    </w:p>
    <w:p>
      <w:pPr>
        <w:spacing w:line="520" w:lineRule="exact"/>
        <w:ind w:firstLine="800" w:firstLineChars="250"/>
        <w:jc w:val="left"/>
        <w:rPr>
          <w:rFonts w:ascii="仿宋" w:hAnsi="仿宋" w:eastAsia="仿宋"/>
          <w:sz w:val="32"/>
          <w:szCs w:val="32"/>
        </w:rPr>
      </w:pPr>
      <w:bookmarkStart w:id="14" w:name="_Toc15377197"/>
      <w:bookmarkStart w:id="15" w:name="_Toc15396600"/>
      <w:r>
        <w:rPr>
          <w:rFonts w:ascii="仿宋" w:hAnsi="仿宋" w:eastAsia="仿宋"/>
          <w:sz w:val="32"/>
          <w:szCs w:val="32"/>
        </w:rPr>
        <w:t>1</w:t>
      </w:r>
      <w:r>
        <w:rPr>
          <w:rFonts w:hint="eastAsia" w:ascii="仿宋" w:hAnsi="仿宋" w:eastAsia="仿宋"/>
          <w:sz w:val="32"/>
          <w:szCs w:val="32"/>
        </w:rPr>
        <w:t>、参政议政，参与国家事务和经济、社会重大决策的政治协商，发挥民主监督作用，做好非公经济代表人士政治安排的推荐工作。</w:t>
      </w:r>
    </w:p>
    <w:p>
      <w:pPr>
        <w:spacing w:line="52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、加强和改进非公经济代表人士思想政治工作，团结、教育、引导非公经济人士爱国、敬业、守法。</w:t>
      </w:r>
    </w:p>
    <w:p>
      <w:pPr>
        <w:spacing w:line="52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、维护会员合法权益，在会员与政府之间发挥桥梁纽带作用，当好政府管理非公经济的助手。</w:t>
      </w:r>
    </w:p>
    <w:p>
      <w:pPr>
        <w:spacing w:line="52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、为会员提供培训、融资、科技、法律、信息咨询等服务，提供对内对外交流服务。</w:t>
      </w:r>
    </w:p>
    <w:p>
      <w:pPr>
        <w:spacing w:line="520" w:lineRule="exact"/>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、增强与异地商会及国内外工商社团的交往，为国家扩大对外开放、企业走向国际市场服务。</w:t>
      </w:r>
    </w:p>
    <w:p>
      <w:pPr>
        <w:spacing w:line="520" w:lineRule="exact"/>
        <w:ind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、加强行业商会、乡镇商会、异地商会等商会网络建设，增强组织凝聚力。</w:t>
      </w:r>
    </w:p>
    <w:p>
      <w:pPr>
        <w:spacing w:line="520" w:lineRule="exact"/>
        <w:ind w:firstLine="640" w:firstLineChars="20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、承办</w:t>
      </w:r>
      <w:r>
        <w:rPr>
          <w:rFonts w:hint="eastAsia" w:ascii="仿宋" w:hAnsi="仿宋" w:eastAsia="仿宋"/>
          <w:sz w:val="32"/>
          <w:szCs w:val="32"/>
          <w:lang w:eastAsia="zh-CN"/>
        </w:rPr>
        <w:t>县委县政府</w:t>
      </w:r>
      <w:r>
        <w:rPr>
          <w:rFonts w:hint="eastAsia" w:ascii="仿宋" w:hAnsi="仿宋" w:eastAsia="仿宋"/>
          <w:sz w:val="32"/>
          <w:szCs w:val="32"/>
        </w:rPr>
        <w:t>和有关部门委托事项。</w:t>
      </w:r>
    </w:p>
    <w:bookmarkEnd w:id="14"/>
    <w:bookmarkEnd w:id="15"/>
    <w:p>
      <w:pPr>
        <w:pStyle w:val="5"/>
        <w:adjustRightInd w:val="0"/>
        <w:snapToGrid w:val="0"/>
        <w:spacing w:before="93" w:line="520" w:lineRule="exact"/>
        <w:ind w:firstLine="675" w:firstLineChars="210"/>
        <w:outlineLvl w:val="2"/>
        <w:rPr>
          <w:rFonts w:ascii="黑体" w:hAnsi="黑体" w:eastAsia="黑体"/>
          <w:b/>
          <w:bCs/>
          <w:color w:val="000000"/>
          <w:sz w:val="32"/>
          <w:szCs w:val="32"/>
        </w:rPr>
      </w:pPr>
      <w:bookmarkStart w:id="16" w:name="_Toc15378446"/>
      <w:bookmarkStart w:id="17" w:name="_Toc15377199"/>
      <w:r>
        <w:rPr>
          <w:rFonts w:hint="eastAsia" w:ascii="黑体" w:hAnsi="黑体" w:eastAsia="黑体"/>
          <w:b/>
          <w:bCs/>
          <w:color w:val="000000"/>
          <w:sz w:val="32"/>
          <w:szCs w:val="32"/>
        </w:rPr>
        <w:t>（二）</w:t>
      </w:r>
      <w:r>
        <w:rPr>
          <w:rFonts w:ascii="黑体" w:hAnsi="黑体" w:eastAsia="黑体"/>
          <w:b/>
          <w:bCs/>
          <w:color w:val="000000"/>
          <w:sz w:val="32"/>
          <w:szCs w:val="32"/>
        </w:rPr>
        <w:t>20</w:t>
      </w:r>
      <w:r>
        <w:rPr>
          <w:rFonts w:hint="eastAsia" w:ascii="黑体" w:hAnsi="黑体" w:eastAsia="黑体"/>
          <w:b/>
          <w:bCs/>
          <w:color w:val="000000"/>
          <w:sz w:val="32"/>
          <w:szCs w:val="32"/>
        </w:rPr>
        <w:t>21年重点工作完成情况。</w:t>
      </w:r>
      <w:bookmarkEnd w:id="16"/>
      <w:bookmarkEnd w:id="17"/>
    </w:p>
    <w:p>
      <w:pPr>
        <w:spacing w:line="520" w:lineRule="exact"/>
        <w:ind w:firstLine="643" w:firstLineChars="200"/>
        <w:rPr>
          <w:rFonts w:ascii="仿宋_GB2312" w:eastAsia="仿宋_GB2312"/>
          <w:sz w:val="32"/>
          <w:szCs w:val="32"/>
        </w:rPr>
      </w:pPr>
      <w:r>
        <w:rPr>
          <w:rFonts w:hint="eastAsia" w:ascii="楷体_GB2312" w:hAnsi="仿宋" w:eastAsia="楷体_GB2312"/>
          <w:b/>
          <w:sz w:val="32"/>
        </w:rPr>
        <w:t>1、</w:t>
      </w:r>
      <w:r>
        <w:rPr>
          <w:rFonts w:hint="eastAsia" w:ascii="楷体_GB2312" w:hAnsi="黑体" w:eastAsia="楷体_GB2312" w:cs="黑体"/>
          <w:b/>
          <w:bCs/>
          <w:sz w:val="32"/>
          <w:szCs w:val="32"/>
        </w:rPr>
        <w:t>突出政治引领，筑牢思想基础。</w:t>
      </w:r>
      <w:r>
        <w:rPr>
          <w:rFonts w:hint="eastAsia" w:ascii="楷体_GB2312" w:hAnsi="仿宋" w:eastAsia="楷体_GB2312"/>
          <w:b/>
          <w:sz w:val="32"/>
          <w:szCs w:val="32"/>
        </w:rPr>
        <w:t>一是抓实政治理论学习。</w:t>
      </w:r>
      <w:r>
        <w:rPr>
          <w:rFonts w:hint="eastAsia" w:ascii="仿宋_GB2312" w:eastAsia="仿宋_GB2312"/>
          <w:sz w:val="32"/>
          <w:szCs w:val="32"/>
        </w:rPr>
        <w:t>结合党史学习教育，通过个人自学、集中研学、专家辅导、心得交流等形式，组织机关干部深入学习习近平新时代中国特色社会主义思想，认真学习贯彻党的十九大、十九届四中、五中、六中全会精神，系统学习党史、新中国史、改革开放史、社会主义发展史，全年开展中心组学习活动12次，党史学习教育专题讨论4次，进一步</w:t>
      </w:r>
      <w:r>
        <w:rPr>
          <w:rFonts w:ascii="仿宋_GB2312" w:eastAsia="仿宋_GB2312"/>
          <w:sz w:val="32"/>
          <w:szCs w:val="32"/>
        </w:rPr>
        <w:t>筑牢</w:t>
      </w:r>
      <w:r>
        <w:rPr>
          <w:rFonts w:hint="eastAsia" w:ascii="仿宋_GB2312" w:eastAsia="仿宋_GB2312"/>
          <w:sz w:val="32"/>
          <w:szCs w:val="32"/>
        </w:rPr>
        <w:t>了</w:t>
      </w:r>
      <w:r>
        <w:rPr>
          <w:rFonts w:ascii="仿宋_GB2312" w:eastAsia="仿宋_GB2312"/>
          <w:sz w:val="32"/>
          <w:szCs w:val="32"/>
        </w:rPr>
        <w:t>信仰之基，补足</w:t>
      </w:r>
      <w:r>
        <w:rPr>
          <w:rFonts w:hint="eastAsia" w:ascii="仿宋_GB2312" w:eastAsia="仿宋_GB2312"/>
          <w:sz w:val="32"/>
          <w:szCs w:val="32"/>
        </w:rPr>
        <w:t>了</w:t>
      </w:r>
      <w:r>
        <w:rPr>
          <w:rFonts w:ascii="仿宋_GB2312" w:eastAsia="仿宋_GB2312"/>
          <w:sz w:val="32"/>
          <w:szCs w:val="32"/>
        </w:rPr>
        <w:t>精神之钙</w:t>
      </w:r>
      <w:r>
        <w:rPr>
          <w:rFonts w:hint="eastAsia" w:ascii="仿宋_GB2312" w:eastAsia="仿宋_GB2312"/>
          <w:sz w:val="32"/>
          <w:szCs w:val="32"/>
        </w:rPr>
        <w:t>。</w:t>
      </w:r>
      <w:r>
        <w:rPr>
          <w:rFonts w:hint="eastAsia" w:ascii="楷体_GB2312" w:hAnsi="仿宋" w:eastAsia="楷体_GB2312"/>
          <w:b/>
          <w:sz w:val="32"/>
          <w:szCs w:val="32"/>
        </w:rPr>
        <w:t>二是加强理想信念教育。</w:t>
      </w:r>
      <w:r>
        <w:rPr>
          <w:rFonts w:hint="eastAsia" w:ascii="仿宋_GB2312" w:eastAsia="仿宋_GB2312"/>
          <w:sz w:val="32"/>
          <w:szCs w:val="32"/>
        </w:rPr>
        <w:t>始终将意识形态工作牢牢抓在手上，引导民营企业大力培育和践行社会主义核心价值观，把握正确政治方向。坚持团结、服务、引导、教育的方针，始终把理想信念教育作为县工商联引领民营企业健康发展、促进民营经济人士健康成长的第一要务。通过微信群、简报印发、集中宣讲、面对面交心等多种形式，把习近平总书记在民营企业座谈会上的讲话及县委经济工作、统战工作会议精神作为必修课。先后两批次组织机关干部和民营经济人士，前往重庆渣滓洞、泸州、四渡赤水太平渡陈列馆等地，开展革命传统教育，在重走长征路中感悟思想伟力。浸润式教育引导民营企业人士和商会进一步坚定听党话、感党恩、跟党走的信念。</w:t>
      </w:r>
      <w:r>
        <w:rPr>
          <w:rFonts w:hint="eastAsia" w:ascii="楷体_GB2312" w:hAnsi="仿宋" w:eastAsia="楷体_GB2312"/>
          <w:b/>
          <w:sz w:val="32"/>
          <w:szCs w:val="32"/>
        </w:rPr>
        <w:t>三是稳妥做好政治安排。</w:t>
      </w:r>
      <w:r>
        <w:rPr>
          <w:rFonts w:hint="eastAsia" w:ascii="仿宋_GB2312" w:eastAsia="仿宋_GB2312"/>
          <w:sz w:val="32"/>
          <w:szCs w:val="32"/>
        </w:rPr>
        <w:t>畅通民营经济人士有序政治参与渠道，引导规范政治参与行为。全面了解民营企业人士政治思想、社会贡献、诚信经营、遵纪守法等方面情况，认真组织开展综合评价工作。从工商界人士推荐产生市政协委员8名、县政协委员42名、县人大代表8名。为市、县经济社会发展提出提案和建议意见60余条。</w:t>
      </w:r>
    </w:p>
    <w:p>
      <w:pPr>
        <w:overflowPunct w:val="0"/>
        <w:autoSpaceDE w:val="0"/>
        <w:autoSpaceDN w:val="0"/>
        <w:spacing w:line="520" w:lineRule="exact"/>
        <w:ind w:firstLine="643" w:firstLineChars="200"/>
        <w:contextualSpacing/>
        <w:rPr>
          <w:rFonts w:ascii="楷体_GB2312" w:hAnsi="仿宋" w:eastAsia="楷体_GB2312"/>
          <w:b/>
          <w:sz w:val="32"/>
          <w:szCs w:val="32"/>
        </w:rPr>
      </w:pPr>
      <w:r>
        <w:rPr>
          <w:rFonts w:hint="eastAsia" w:ascii="楷体_GB2312" w:hAnsi="仿宋" w:eastAsia="楷体_GB2312"/>
          <w:b/>
          <w:sz w:val="32"/>
        </w:rPr>
        <w:t>2、精心筹备组织，圆满完成换届。</w:t>
      </w:r>
      <w:r>
        <w:rPr>
          <w:rFonts w:hint="eastAsia" w:ascii="楷体_GB2312" w:hAnsi="仿宋" w:eastAsia="楷体_GB2312"/>
          <w:b/>
          <w:sz w:val="32"/>
          <w:szCs w:val="32"/>
        </w:rPr>
        <w:t>一是强化组织领导。</w:t>
      </w:r>
      <w:r>
        <w:rPr>
          <w:rFonts w:hint="eastAsia" w:ascii="仿宋_GB2312" w:hAnsi="华文中宋" w:eastAsia="仿宋_GB2312"/>
          <w:bCs/>
          <w:sz w:val="32"/>
          <w:szCs w:val="32"/>
        </w:rPr>
        <w:t>按照换届工作要求，制定了《南江县工商业联合会（总商会）换届工作方案》，</w:t>
      </w:r>
      <w:r>
        <w:rPr>
          <w:rFonts w:hint="eastAsia" w:ascii="仿宋_GB2312" w:eastAsia="仿宋_GB2312"/>
          <w:sz w:val="32"/>
          <w:szCs w:val="32"/>
        </w:rPr>
        <w:t>成立了县委常委、统战部长任组长的县工商联换届工作领导小组。组织3个工作组深入全县民营企业走访调研。通过分析研判，</w:t>
      </w:r>
      <w:r>
        <w:rPr>
          <w:rFonts w:hint="eastAsia" w:eastAsia="仿宋_GB2312"/>
          <w:sz w:val="32"/>
          <w:szCs w:val="32"/>
        </w:rPr>
        <w:t>对工商联（商会）领导班子、常委会、执委会进、退、留、转和后备干部情况进行摸底测算。形成了《南江县工商业联合会（商会）第四次会员代表大会代表产生及名额分配办法》。</w:t>
      </w:r>
      <w:r>
        <w:rPr>
          <w:rFonts w:hint="eastAsia" w:ascii="楷体_GB2312" w:hAnsi="仿宋" w:eastAsia="楷体_GB2312"/>
          <w:b/>
          <w:sz w:val="32"/>
          <w:szCs w:val="32"/>
        </w:rPr>
        <w:t>二是严把程序要求。</w:t>
      </w:r>
      <w:r>
        <w:rPr>
          <w:rFonts w:hint="eastAsia" w:ascii="仿宋_GB2312" w:eastAsia="仿宋_GB2312"/>
          <w:sz w:val="32"/>
          <w:szCs w:val="32"/>
        </w:rPr>
        <w:t>依照《中华全国工商业联合会章程》规定，按照县委工作要求和县委统战部安排，制定了</w:t>
      </w:r>
      <w:r>
        <w:rPr>
          <w:rFonts w:hint="eastAsia" w:eastAsia="仿宋_GB2312"/>
          <w:sz w:val="32"/>
          <w:szCs w:val="32"/>
        </w:rPr>
        <w:t>《南江县工商联（商会）换届工作流程图》，明确了工作任务和时间表，认真开展人选推荐、考察、公示等工作。进一步严格工作程序，规范工作流程。</w:t>
      </w:r>
      <w:r>
        <w:rPr>
          <w:rFonts w:hint="eastAsia" w:ascii="楷体_GB2312" w:hAnsi="仿宋" w:eastAsia="楷体_GB2312"/>
          <w:b/>
          <w:sz w:val="32"/>
          <w:szCs w:val="32"/>
        </w:rPr>
        <w:t>三是完成换届选举。</w:t>
      </w:r>
      <w:r>
        <w:rPr>
          <w:rFonts w:hint="eastAsia" w:ascii="仿宋_GB2312" w:eastAsia="仿宋_GB2312"/>
          <w:sz w:val="32"/>
          <w:szCs w:val="32"/>
        </w:rPr>
        <w:t>4月20日，召开县工商联第十四次会员代表大会，县委书记李本勇出席闭幕大会，并作了重要讲话。会议选举产生县工商联第十四届领导班子，选举了新的工商联（总商会）主席（会长）、副主席（副会长）人选，其中企业家兼职副主席12名，企业家副会长12名，执委69名。新一届领导班子年龄、性别、文化、行业结构得到进一步优化。</w:t>
      </w:r>
    </w:p>
    <w:p>
      <w:pPr>
        <w:spacing w:line="520" w:lineRule="exact"/>
        <w:ind w:firstLine="645"/>
        <w:rPr>
          <w:rFonts w:ascii="仿宋_GB2312" w:hAnsi="仿宋" w:eastAsia="仿宋_GB2312"/>
          <w:sz w:val="32"/>
          <w:szCs w:val="32"/>
        </w:rPr>
      </w:pPr>
      <w:r>
        <w:rPr>
          <w:rFonts w:hint="eastAsia" w:ascii="楷体_GB2312" w:hAnsi="仿宋" w:eastAsia="楷体_GB2312"/>
          <w:b/>
          <w:sz w:val="32"/>
        </w:rPr>
        <w:t>3、深化管理服务，激发企业活力。</w:t>
      </w:r>
      <w:r>
        <w:rPr>
          <w:rFonts w:hint="eastAsia" w:ascii="楷体_GB2312" w:hAnsi="仿宋" w:eastAsia="楷体_GB2312"/>
          <w:b/>
          <w:sz w:val="32"/>
          <w:szCs w:val="32"/>
        </w:rPr>
        <w:t>一是充分激发商协会建设活力。</w:t>
      </w:r>
      <w:r>
        <w:rPr>
          <w:rFonts w:hint="eastAsia" w:ascii="仿宋_GB2312" w:eastAsia="仿宋_GB2312"/>
          <w:sz w:val="32"/>
          <w:szCs w:val="32"/>
        </w:rPr>
        <w:t>突出抓好工商联所属商协会建设，提升商协会服务力、凝聚力。</w:t>
      </w:r>
      <w:r>
        <w:rPr>
          <w:rFonts w:hint="eastAsia" w:ascii="仿宋_GB2312" w:hAnsi="仿宋_GB2312" w:eastAsia="仿宋_GB2312" w:cs="仿宋_GB2312"/>
          <w:sz w:val="32"/>
          <w:szCs w:val="32"/>
        </w:rPr>
        <w:t>以商会建设提升年为契机，着力推进商会“六有”（办公场所、商会注册、商会章程、活动开展、商会档案、工作人员）规范化建设。完成了南江县商贸流通行业商会的换届，南江成都商会、南江县沙河商会、南江县五金建材机电商会完成换届前期准备，下一步将按时间接续开展换届选举工作。先后6次到正直镇、长赤镇调研走访民营企业现状，组织召开正直商会组建筹备工作会，乡镇商会建设工作有序推进。进一步激发商会组织的造血功能，北京南江商会通过会费投资实业，成功实现了“以商养会”。</w:t>
      </w:r>
      <w:r>
        <w:rPr>
          <w:rFonts w:hint="eastAsia" w:ascii="楷体_GB2312" w:hAnsi="仿宋" w:eastAsia="楷体_GB2312"/>
          <w:b/>
          <w:sz w:val="32"/>
          <w:szCs w:val="32"/>
        </w:rPr>
        <w:t>二是充分激发参与乡村振兴活力。</w:t>
      </w:r>
      <w:r>
        <w:rPr>
          <w:rFonts w:hint="eastAsia" w:ascii="仿宋_GB2312" w:hAnsi="仿宋_GB2312" w:eastAsia="仿宋_GB2312" w:cs="仿宋_GB2312"/>
          <w:sz w:val="32"/>
          <w:szCs w:val="32"/>
        </w:rPr>
        <w:t>深入开展“万企兴万村”行动。县工商联牵头制定了《关于开展“万企兴万村”行动的实施方案》，顺利实现了“万企帮万村”向“万企兴万村”转化。</w:t>
      </w:r>
      <w:r>
        <w:rPr>
          <w:rFonts w:hint="eastAsia" w:ascii="仿宋" w:hAnsi="仿宋" w:eastAsia="仿宋" w:cs="仿宋"/>
          <w:sz w:val="32"/>
          <w:szCs w:val="32"/>
        </w:rPr>
        <w:t>执委民营企业积极参与，主动与脱贫村、重点村结对，在全县打造了</w:t>
      </w:r>
      <w:r>
        <w:rPr>
          <w:rFonts w:hint="eastAsia" w:ascii="仿宋_GB2312" w:hAnsi="仿宋" w:eastAsia="仿宋_GB2312"/>
          <w:sz w:val="32"/>
          <w:szCs w:val="32"/>
        </w:rPr>
        <w:t>“万企兴万村”行动示范点12个，其中，“光雾和谷”助力秋池社区乡村振兴拟申报省级示范点；下两东垭、高桥箭杆、关门石庙拟申报市级示范点。2021年度，县工商联获“万企帮万村”精准扶贫行动先进集体和民营企业调查点工作先进单位。</w:t>
      </w:r>
      <w:r>
        <w:rPr>
          <w:rFonts w:hint="eastAsia" w:ascii="楷体_GB2312" w:hAnsi="仿宋" w:eastAsia="楷体_GB2312"/>
          <w:b/>
          <w:sz w:val="32"/>
          <w:szCs w:val="32"/>
        </w:rPr>
        <w:t>三是充分激发回报社会的活力。</w:t>
      </w:r>
      <w:r>
        <w:rPr>
          <w:rFonts w:hint="eastAsia" w:ascii="仿宋_GB2312" w:hAnsi="仿宋" w:eastAsia="仿宋_GB2312"/>
          <w:sz w:val="32"/>
          <w:szCs w:val="32"/>
        </w:rPr>
        <w:t>会员单位和民营经济人士始终坚持情系南江、勇担大义，与县委、县政府同心同行，在巩固脱贫攻坚成果、助力5A景区创建、筑牢疫情防线、救助贫困学生等方面彰显了责任担当。年内，组织民营企业开展扶贫济困，捐赠爱心助学资金35万元。民营经济贡献了全县70%以上的城镇就业、80%以上的税收，金枝玉叶、农科村镇银行等5家民营企业进入全市民营企业30强榜单。</w:t>
      </w:r>
    </w:p>
    <w:p>
      <w:pPr>
        <w:spacing w:line="520" w:lineRule="exact"/>
        <w:ind w:firstLine="645"/>
        <w:rPr>
          <w:rFonts w:ascii="仿宋_GB2312" w:eastAsia="仿宋_GB2312"/>
          <w:sz w:val="32"/>
          <w:szCs w:val="32"/>
        </w:rPr>
      </w:pPr>
      <w:r>
        <w:rPr>
          <w:rFonts w:hint="eastAsia" w:ascii="楷体_GB2312" w:hAnsi="仿宋" w:eastAsia="楷体_GB2312"/>
          <w:b/>
          <w:sz w:val="32"/>
        </w:rPr>
        <w:t>4、强化内功修炼，服务企业发展。</w:t>
      </w:r>
      <w:r>
        <w:rPr>
          <w:rFonts w:hint="eastAsia" w:ascii="楷体_GB2312" w:hAnsi="仿宋" w:eastAsia="楷体_GB2312"/>
          <w:b/>
          <w:sz w:val="32"/>
          <w:szCs w:val="32"/>
        </w:rPr>
        <w:t>一是努力提升服务水平。</w:t>
      </w:r>
      <w:r>
        <w:rPr>
          <w:rFonts w:hint="eastAsia" w:ascii="仿宋_GB2312" w:hAnsi="仿宋_GB2312" w:eastAsia="仿宋_GB2312" w:cs="仿宋_GB2312"/>
          <w:sz w:val="32"/>
          <w:szCs w:val="32"/>
        </w:rPr>
        <w:t>坚持读专业书、说内行话。担当工商联的职责任务，主动研学民营经济发展的历程，分析当前宏观经济形势，吃透南江经济发展县情，增强走近民营企业和民营企业家的能力。坚持请进来，走出去，长见识，增智慧。进一步扩大学习交流活动，努力提升机关干部服务民营经济发展的能力。年内，机关干部外派西南交大、社会主义学院等地学习3人次。</w:t>
      </w:r>
      <w:r>
        <w:rPr>
          <w:rFonts w:hint="eastAsia" w:ascii="楷体_GB2312" w:hAnsi="仿宋" w:eastAsia="楷体_GB2312"/>
          <w:b/>
          <w:sz w:val="32"/>
          <w:szCs w:val="32"/>
        </w:rPr>
        <w:t>二是坚持一线走访调研。</w:t>
      </w:r>
      <w:r>
        <w:rPr>
          <w:rFonts w:hint="eastAsia" w:ascii="仿宋_GB2312" w:hAnsi="仿宋_GB2312" w:eastAsia="仿宋_GB2312" w:cs="仿宋_GB2312"/>
          <w:sz w:val="32"/>
          <w:szCs w:val="32"/>
        </w:rPr>
        <w:t>以“进百企解千难”活动为抓手，从政策落实、关系协调、产销平衡、员工培训等方面主动作为、靠前服务，</w:t>
      </w:r>
      <w:r>
        <w:rPr>
          <w:rFonts w:hint="eastAsia" w:ascii="仿宋_GB2312" w:eastAsia="仿宋_GB2312"/>
          <w:sz w:val="32"/>
          <w:szCs w:val="32"/>
        </w:rPr>
        <w:t>了解企业发展中的困难和诉求，帮助解决实际问题。共</w:t>
      </w:r>
      <w:r>
        <w:rPr>
          <w:rFonts w:hint="eastAsia" w:ascii="仿宋_GB2312" w:hAnsi="仿宋_GB2312" w:eastAsia="仿宋_GB2312" w:cs="仿宋_GB2312"/>
          <w:sz w:val="32"/>
          <w:szCs w:val="32"/>
        </w:rPr>
        <w:t>收集整理各类诉求、困难15条，建立了问题台账，已转相关部门跟踪督办。</w:t>
      </w:r>
      <w:r>
        <w:rPr>
          <w:rFonts w:hint="eastAsia" w:ascii="仿宋_GB2312" w:eastAsia="仿宋_GB2312"/>
          <w:sz w:val="32"/>
          <w:szCs w:val="32"/>
        </w:rPr>
        <w:t>先后走访了重庆南江商会、西安南江分会、成都南江商会等3个异地商会，积极对接工商银行、浙江东阳市工商联等优势资源，正在为地方民营经济发展争取更多的扶持机会。</w:t>
      </w:r>
      <w:r>
        <w:rPr>
          <w:rFonts w:hint="eastAsia" w:ascii="楷体_GB2312" w:hAnsi="仿宋" w:eastAsia="楷体_GB2312"/>
          <w:b/>
          <w:sz w:val="32"/>
          <w:szCs w:val="32"/>
        </w:rPr>
        <w:t>三是营造“亲”“清”政商关系。</w:t>
      </w:r>
      <w:r>
        <w:rPr>
          <w:rFonts w:hint="eastAsia" w:ascii="仿宋_GB2312" w:eastAsia="仿宋_GB2312"/>
          <w:sz w:val="32"/>
          <w:szCs w:val="32"/>
        </w:rPr>
        <w:t>积极发挥工商联、商会组织的桥梁和纽带作用，搭建交流平台，主动吸引企业家与政府沟通交流，形成讲真话、说实情、建诤言的互动局面，实现政府与企业良性互动。厘清政商关系边界，规范政商行为。实行既“清上加亲”、又“亲中守清”的政商交往模式，自觉遵守纪律要求，常态开展廉政提醒、谈心谈话等活动，强化八小时外自律。</w:t>
      </w:r>
    </w:p>
    <w:p>
      <w:pPr>
        <w:spacing w:line="520" w:lineRule="exact"/>
        <w:ind w:firstLine="645"/>
        <w:rPr>
          <w:rFonts w:ascii="楷体_GB2312" w:hAnsi="黑体" w:eastAsia="楷体_GB2312"/>
          <w:b/>
          <w:sz w:val="32"/>
        </w:rPr>
      </w:pPr>
      <w:r>
        <w:rPr>
          <w:rFonts w:hint="eastAsia" w:ascii="楷体_GB2312" w:hAnsi="仿宋" w:eastAsia="楷体_GB2312"/>
          <w:b/>
          <w:sz w:val="32"/>
        </w:rPr>
        <w:t>5、落实主体责任，强化工作保障。</w:t>
      </w:r>
      <w:r>
        <w:rPr>
          <w:rFonts w:hint="eastAsia" w:ascii="仿宋_GB2312" w:eastAsia="仿宋_GB2312"/>
          <w:sz w:val="32"/>
          <w:szCs w:val="32"/>
        </w:rPr>
        <w:t>认真落实党建和党风廉政建设责任制，</w:t>
      </w:r>
      <w:r>
        <w:rPr>
          <w:rFonts w:hint="eastAsia" w:ascii="仿宋_GB2312" w:hAnsi="仿宋" w:eastAsia="仿宋_GB2312"/>
          <w:sz w:val="32"/>
          <w:szCs w:val="32"/>
        </w:rPr>
        <w:t>将</w:t>
      </w:r>
      <w:r>
        <w:rPr>
          <w:rFonts w:hint="eastAsia" w:ascii="仿宋_GB2312" w:eastAsia="仿宋_GB2312"/>
          <w:sz w:val="32"/>
          <w:szCs w:val="32"/>
        </w:rPr>
        <w:t>全面从严治党、党风廉政建设和反腐败工作与工商联工作同部署、同检查、同考核。坚持“一把手”负总责，分管领导具体负责。党组书记按照</w:t>
      </w:r>
      <w:r>
        <w:rPr>
          <w:rFonts w:hint="eastAsia" w:ascii="仿宋_GB2312" w:hAnsi="仿宋" w:eastAsia="仿宋_GB2312"/>
          <w:sz w:val="32"/>
          <w:szCs w:val="32"/>
        </w:rPr>
        <w:t>“四个亲自”要求，认真担负党建和党风廉政建设第一责任，围绕反电信诈骗案、换届风气监督、巡察问题整改等方面，</w:t>
      </w:r>
      <w:r>
        <w:rPr>
          <w:rFonts w:hint="eastAsia" w:ascii="仿宋_GB2312" w:eastAsia="仿宋_GB2312"/>
          <w:sz w:val="32"/>
          <w:szCs w:val="32"/>
        </w:rPr>
        <w:t>组织召开</w:t>
      </w:r>
      <w:r>
        <w:rPr>
          <w:rFonts w:hint="eastAsia" w:ascii="仿宋_GB2312" w:hAnsi="仿宋" w:eastAsia="仿宋_GB2312"/>
          <w:sz w:val="32"/>
          <w:szCs w:val="32"/>
        </w:rPr>
        <w:t>党建和党风廉政建设专题会议4次，确保了主体责任落实落地。与班子成员“一对一”谈话10人次，督促班子成员落实“一岗双责”。班子成员按照“书记负总责，分管领导各负其责，班子成员齐抓共管”的领导工作机制，严格落实“一岗双责”，有效确保了党建和党风廉政建设工作横向到边、纵向到底、不留死角，形成了一级抓一级、层层抓落实的工作责任机制。</w:t>
      </w:r>
    </w:p>
    <w:p>
      <w:pPr>
        <w:pBdr>
          <w:bottom w:val="single" w:color="FFFFFF" w:sz="4" w:space="31"/>
        </w:pBdr>
        <w:tabs>
          <w:tab w:val="left" w:pos="1440"/>
        </w:tabs>
        <w:adjustRightInd w:val="0"/>
        <w:spacing w:line="520" w:lineRule="exact"/>
        <w:ind w:firstLine="643" w:firstLineChars="200"/>
        <w:rPr>
          <w:rStyle w:val="17"/>
          <w:rFonts w:ascii="黑体" w:hAnsi="黑体" w:eastAsia="黑体"/>
        </w:rPr>
      </w:pPr>
      <w:bookmarkStart w:id="18" w:name="_Toc15377200"/>
      <w:bookmarkStart w:id="19" w:name="_Toc15396601"/>
      <w:r>
        <w:rPr>
          <w:rStyle w:val="17"/>
          <w:rFonts w:hint="eastAsia" w:ascii="黑体" w:hAnsi="黑体" w:eastAsia="黑体"/>
        </w:rPr>
        <w:t>二、机构设置</w:t>
      </w:r>
      <w:bookmarkEnd w:id="18"/>
      <w:bookmarkEnd w:id="19"/>
    </w:p>
    <w:p>
      <w:pPr>
        <w:pBdr>
          <w:bottom w:val="single" w:color="FFFFFF" w:sz="4" w:space="31"/>
        </w:pBdr>
        <w:tabs>
          <w:tab w:val="left" w:pos="1440"/>
        </w:tabs>
        <w:adjustRightInd w:val="0"/>
        <w:spacing w:line="520" w:lineRule="exact"/>
        <w:ind w:firstLine="640" w:firstLineChars="200"/>
        <w:rPr>
          <w:rFonts w:ascii="黑体" w:hAnsi="黑体" w:eastAsia="黑体"/>
          <w:b/>
          <w:bCs/>
          <w:sz w:val="32"/>
          <w:szCs w:val="32"/>
        </w:rPr>
      </w:pPr>
      <w:r>
        <w:rPr>
          <w:rFonts w:hint="eastAsia" w:ascii="仿宋_GB2312" w:eastAsia="仿宋_GB2312"/>
          <w:sz w:val="32"/>
          <w:szCs w:val="32"/>
        </w:rPr>
        <w:t>县工商联是经县委编办核定的正科级单位，无内设机构。</w:t>
      </w:r>
      <w:r>
        <w:rPr>
          <w:rFonts w:hint="eastAsia" w:ascii="仿宋_GB2312" w:hAnsi="宋体" w:eastAsia="仿宋_GB2312" w:cs="宋体"/>
          <w:color w:val="4E4342"/>
          <w:kern w:val="0"/>
          <w:sz w:val="32"/>
          <w:szCs w:val="32"/>
        </w:rPr>
        <w:t>财政预算全额拨款供给人数8人。</w:t>
      </w:r>
    </w:p>
    <w:p>
      <w:pPr>
        <w:pBdr>
          <w:bottom w:val="single" w:color="FFFFFF" w:sz="4" w:space="31"/>
        </w:pBdr>
        <w:tabs>
          <w:tab w:val="left" w:pos="1440"/>
        </w:tabs>
        <w:adjustRightInd w:val="0"/>
        <w:spacing w:line="520" w:lineRule="exact"/>
        <w:ind w:firstLine="640" w:firstLineChars="200"/>
        <w:rPr>
          <w:rFonts w:ascii="黑体" w:hAnsi="黑体" w:eastAsia="黑体"/>
          <w:b/>
          <w:bCs/>
          <w:sz w:val="32"/>
          <w:szCs w:val="32"/>
        </w:rPr>
      </w:pPr>
      <w:r>
        <w:rPr>
          <w:rFonts w:ascii="仿宋_GB2312" w:hAnsi="宋体" w:eastAsia="仿宋_GB2312" w:cs="宋体"/>
          <w:color w:val="4E4342"/>
          <w:kern w:val="0"/>
          <w:sz w:val="32"/>
          <w:szCs w:val="32"/>
        </w:rPr>
        <w:t>1</w:t>
      </w:r>
      <w:r>
        <w:rPr>
          <w:rFonts w:hint="eastAsia" w:ascii="仿宋_GB2312" w:hAnsi="宋体" w:eastAsia="仿宋_GB2312" w:cs="宋体"/>
          <w:color w:val="4E4342"/>
          <w:kern w:val="0"/>
          <w:sz w:val="32"/>
          <w:szCs w:val="32"/>
        </w:rPr>
        <w:t>、在职人数4人。其中：行政公务员3人、行政工人</w:t>
      </w:r>
      <w:r>
        <w:rPr>
          <w:rFonts w:ascii="仿宋_GB2312" w:hAnsi="宋体" w:eastAsia="仿宋_GB2312" w:cs="宋体"/>
          <w:color w:val="4E4342"/>
          <w:kern w:val="0"/>
          <w:sz w:val="32"/>
          <w:szCs w:val="32"/>
        </w:rPr>
        <w:t>1</w:t>
      </w:r>
      <w:r>
        <w:rPr>
          <w:rFonts w:hint="eastAsia" w:ascii="仿宋_GB2312" w:hAnsi="宋体" w:eastAsia="仿宋_GB2312" w:cs="宋体"/>
          <w:color w:val="4E4342"/>
          <w:kern w:val="0"/>
          <w:sz w:val="32"/>
          <w:szCs w:val="32"/>
        </w:rPr>
        <w:t>人。</w:t>
      </w:r>
    </w:p>
    <w:p>
      <w:pPr>
        <w:pBdr>
          <w:bottom w:val="single" w:color="FFFFFF" w:sz="4" w:space="31"/>
        </w:pBdr>
        <w:tabs>
          <w:tab w:val="left" w:pos="1440"/>
        </w:tabs>
        <w:adjustRightInd w:val="0"/>
        <w:spacing w:line="520" w:lineRule="exact"/>
        <w:ind w:firstLine="640" w:firstLineChars="200"/>
        <w:rPr>
          <w:rFonts w:ascii="仿宋_GB2312" w:hAnsi="宋体" w:eastAsia="仿宋_GB2312" w:cs="宋体"/>
          <w:color w:val="4E4342"/>
          <w:kern w:val="0"/>
          <w:sz w:val="32"/>
          <w:szCs w:val="32"/>
        </w:rPr>
      </w:pPr>
      <w:r>
        <w:rPr>
          <w:rFonts w:ascii="仿宋_GB2312" w:hAnsi="宋体" w:eastAsia="仿宋_GB2312" w:cs="宋体"/>
          <w:color w:val="4E4342"/>
          <w:kern w:val="0"/>
          <w:sz w:val="32"/>
          <w:szCs w:val="32"/>
        </w:rPr>
        <w:t>2</w:t>
      </w:r>
      <w:r>
        <w:rPr>
          <w:rFonts w:hint="eastAsia" w:ascii="仿宋_GB2312" w:hAnsi="宋体" w:eastAsia="仿宋_GB2312" w:cs="宋体"/>
          <w:color w:val="4E4342"/>
          <w:kern w:val="0"/>
          <w:sz w:val="32"/>
          <w:szCs w:val="32"/>
        </w:rPr>
        <w:t>、退休</w:t>
      </w:r>
      <w:r>
        <w:rPr>
          <w:rFonts w:ascii="仿宋_GB2312" w:hAnsi="宋体" w:eastAsia="仿宋_GB2312" w:cs="宋体"/>
          <w:color w:val="4E4342"/>
          <w:kern w:val="0"/>
          <w:sz w:val="32"/>
          <w:szCs w:val="32"/>
        </w:rPr>
        <w:t>4</w:t>
      </w:r>
      <w:bookmarkStart w:id="20" w:name="_Toc15377204"/>
      <w:bookmarkStart w:id="21" w:name="_Toc15396602"/>
      <w:r>
        <w:rPr>
          <w:rFonts w:hint="eastAsia" w:ascii="仿宋_GB2312" w:hAnsi="宋体" w:eastAsia="仿宋_GB2312" w:cs="宋体"/>
          <w:color w:val="4E4342"/>
          <w:kern w:val="0"/>
          <w:sz w:val="32"/>
          <w:szCs w:val="32"/>
        </w:rPr>
        <w:t>人。</w:t>
      </w:r>
    </w:p>
    <w:p>
      <w:pPr>
        <w:pBdr>
          <w:bottom w:val="single" w:color="FFFFFF" w:sz="4" w:space="31"/>
        </w:pBdr>
        <w:tabs>
          <w:tab w:val="left" w:pos="1440"/>
        </w:tabs>
        <w:adjustRightInd w:val="0"/>
        <w:spacing w:line="576" w:lineRule="exact"/>
        <w:ind w:firstLine="640" w:firstLineChars="200"/>
        <w:rPr>
          <w:rFonts w:ascii="仿宋_GB2312" w:hAnsi="宋体" w:eastAsia="仿宋_GB2312" w:cs="宋体"/>
          <w:color w:val="4E4342"/>
          <w:kern w:val="0"/>
          <w:sz w:val="32"/>
          <w:szCs w:val="32"/>
        </w:rPr>
      </w:pPr>
    </w:p>
    <w:p>
      <w:pPr>
        <w:pBdr>
          <w:bottom w:val="single" w:color="FFFFFF" w:sz="4" w:space="31"/>
        </w:pBdr>
        <w:tabs>
          <w:tab w:val="left" w:pos="1440"/>
        </w:tabs>
        <w:adjustRightInd w:val="0"/>
        <w:spacing w:line="576" w:lineRule="exact"/>
        <w:ind w:firstLine="640" w:firstLineChars="200"/>
        <w:rPr>
          <w:rFonts w:ascii="仿宋_GB2312" w:hAnsi="宋体" w:eastAsia="仿宋_GB2312" w:cs="宋体"/>
          <w:color w:val="4E4342"/>
          <w:kern w:val="0"/>
          <w:sz w:val="32"/>
          <w:szCs w:val="32"/>
        </w:rPr>
      </w:pPr>
    </w:p>
    <w:p>
      <w:pPr>
        <w:pStyle w:val="2"/>
        <w:spacing w:before="0" w:after="0" w:line="576" w:lineRule="exact"/>
        <w:ind w:right="440"/>
        <w:jc w:val="right"/>
      </w:pPr>
      <w:r>
        <w:rPr>
          <w:rFonts w:hint="eastAsia" w:ascii="黑体" w:hAnsi="黑体" w:eastAsia="黑体"/>
          <w:b w:val="0"/>
          <w:color w:val="000000"/>
        </w:rPr>
        <w:t>第二部分</w:t>
      </w:r>
      <w:r>
        <w:rPr>
          <w:rStyle w:val="18"/>
          <w:rFonts w:ascii="黑体" w:hAnsi="黑体" w:eastAsia="黑体"/>
          <w:b w:val="0"/>
          <w:bCs w:val="0"/>
        </w:rPr>
        <w:t>20</w:t>
      </w:r>
      <w:r>
        <w:rPr>
          <w:rStyle w:val="18"/>
          <w:rFonts w:hint="eastAsia" w:ascii="黑体" w:hAnsi="黑体" w:eastAsia="黑体"/>
          <w:b w:val="0"/>
          <w:bCs w:val="0"/>
        </w:rPr>
        <w:t>21年度部门决算情况说明</w:t>
      </w:r>
      <w:bookmarkEnd w:id="20"/>
      <w:bookmarkEnd w:id="21"/>
    </w:p>
    <w:p>
      <w:pPr>
        <w:pStyle w:val="28"/>
        <w:numPr>
          <w:ilvl w:val="0"/>
          <w:numId w:val="2"/>
        </w:numPr>
        <w:spacing w:line="576" w:lineRule="exact"/>
        <w:ind w:firstLineChars="0"/>
        <w:outlineLvl w:val="1"/>
        <w:rPr>
          <w:rStyle w:val="17"/>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2"/>
      <w:bookmarkEnd w:id="23"/>
    </w:p>
    <w:p>
      <w:pPr>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21年度收、支总计71.88万元。与</w:t>
      </w:r>
      <w:r>
        <w:rPr>
          <w:rFonts w:ascii="仿宋" w:hAnsi="仿宋" w:eastAsia="仿宋"/>
          <w:color w:val="000000"/>
          <w:sz w:val="32"/>
          <w:szCs w:val="32"/>
        </w:rPr>
        <w:t>20</w:t>
      </w:r>
      <w:r>
        <w:rPr>
          <w:rFonts w:hint="eastAsia" w:ascii="仿宋" w:hAnsi="仿宋" w:eastAsia="仿宋"/>
          <w:color w:val="000000"/>
          <w:sz w:val="32"/>
          <w:szCs w:val="32"/>
        </w:rPr>
        <w:t>20年相比减少6.91万元，减少8.77</w:t>
      </w:r>
      <w:r>
        <w:rPr>
          <w:rFonts w:ascii="仿宋" w:hAnsi="仿宋" w:eastAsia="仿宋"/>
          <w:color w:val="000000"/>
          <w:sz w:val="32"/>
          <w:szCs w:val="32"/>
        </w:rPr>
        <w:t>%</w:t>
      </w:r>
      <w:r>
        <w:rPr>
          <w:rFonts w:hint="eastAsia" w:ascii="仿宋" w:hAnsi="仿宋" w:eastAsia="仿宋"/>
          <w:color w:val="000000"/>
          <w:sz w:val="32"/>
          <w:szCs w:val="32"/>
        </w:rPr>
        <w:t>。主要变动原因是项目经费压缩。</w:t>
      </w:r>
    </w:p>
    <w:p>
      <w:pPr>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object>
          <v:shape id="_x0000_i1025" o:spt="75" type="#_x0000_t75" style="height:200.25pt;width:258.75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p>
    <w:p>
      <w:pPr>
        <w:pStyle w:val="28"/>
        <w:numPr>
          <w:ilvl w:val="0"/>
          <w:numId w:val="2"/>
        </w:numPr>
        <w:spacing w:line="576" w:lineRule="exact"/>
        <w:ind w:firstLineChars="0"/>
        <w:outlineLvl w:val="1"/>
        <w:rPr>
          <w:rStyle w:val="17"/>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17"/>
          <w:rFonts w:hint="eastAsia" w:ascii="黑体" w:hAnsi="黑体" w:eastAsia="黑体"/>
          <w:b w:val="0"/>
        </w:rPr>
        <w:t>入决算情况说明</w:t>
      </w:r>
      <w:bookmarkEnd w:id="24"/>
      <w:bookmarkEnd w:id="25"/>
    </w:p>
    <w:p>
      <w:pPr>
        <w:spacing w:line="576"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21年本年收入合计71.88万元，其中：一般公共预算财政拨款收入71.88万元，占</w:t>
      </w:r>
      <w:r>
        <w:rPr>
          <w:rFonts w:ascii="仿宋" w:hAnsi="仿宋" w:eastAsia="仿宋"/>
          <w:color w:val="000000"/>
          <w:sz w:val="32"/>
          <w:szCs w:val="32"/>
        </w:rPr>
        <w:t>100%</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bookmarkStart w:id="26" w:name="_Toc15396605"/>
      <w:bookmarkStart w:id="27" w:name="_Toc15377207"/>
      <w:r>
        <w:rPr>
          <w:rFonts w:hint="eastAsia" w:ascii="仿宋" w:hAnsi="仿宋" w:eastAsia="仿宋"/>
          <w:color w:val="000000"/>
          <w:sz w:val="32"/>
          <w:szCs w:val="32"/>
        </w:rPr>
        <w:t>。</w:t>
      </w:r>
    </w:p>
    <w:p>
      <w:pPr>
        <w:jc w:val="center"/>
        <w:outlineLvl w:val="1"/>
        <w:rPr>
          <w:rFonts w:ascii="仿宋" w:hAnsi="仿宋" w:eastAsia="仿宋"/>
          <w:color w:val="000000"/>
          <w:sz w:val="32"/>
          <w:szCs w:val="32"/>
        </w:rPr>
      </w:pPr>
      <w:r>
        <w:rPr>
          <w:rFonts w:hint="eastAsia" w:ascii="仿宋" w:hAnsi="仿宋" w:eastAsia="仿宋"/>
          <w:color w:val="000000"/>
          <w:sz w:val="32"/>
          <w:szCs w:val="32"/>
        </w:rPr>
        <w:object>
          <v:shape id="_x0000_i1026" o:spt="75" type="#_x0000_t75" style="height:222.75pt;width:258.75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p>
    <w:p>
      <w:pPr>
        <w:spacing w:line="576" w:lineRule="exact"/>
        <w:ind w:firstLine="640" w:firstLineChars="200"/>
        <w:outlineLvl w:val="1"/>
        <w:rPr>
          <w:rStyle w:val="17"/>
          <w:rFonts w:ascii="黑体" w:hAnsi="黑体" w:eastAsia="黑体"/>
          <w:b w:val="0"/>
        </w:rPr>
      </w:pPr>
      <w:r>
        <w:rPr>
          <w:rFonts w:hint="eastAsia" w:ascii="仿宋" w:hAnsi="仿宋" w:eastAsia="仿宋"/>
          <w:color w:val="000000"/>
          <w:sz w:val="32"/>
          <w:szCs w:val="32"/>
        </w:rPr>
        <w:t>三、</w:t>
      </w:r>
      <w:r>
        <w:rPr>
          <w:rFonts w:hint="eastAsia" w:ascii="黑体" w:hAnsi="黑体" w:eastAsia="黑体"/>
          <w:color w:val="000000"/>
          <w:sz w:val="32"/>
          <w:szCs w:val="32"/>
        </w:rPr>
        <w:t>支</w:t>
      </w:r>
      <w:r>
        <w:rPr>
          <w:rStyle w:val="17"/>
          <w:rFonts w:hint="eastAsia" w:ascii="黑体" w:hAnsi="黑体" w:eastAsia="黑体"/>
          <w:b w:val="0"/>
        </w:rPr>
        <w:t>出决算情况说明</w:t>
      </w:r>
      <w:bookmarkEnd w:id="26"/>
      <w:bookmarkEnd w:id="27"/>
    </w:p>
    <w:p>
      <w:pPr>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21年本年支出合计71.88万元，其中：基本支出61.58万元，占85.67</w:t>
      </w:r>
      <w:r>
        <w:rPr>
          <w:rFonts w:ascii="仿宋" w:hAnsi="仿宋" w:eastAsia="仿宋"/>
          <w:color w:val="000000"/>
          <w:sz w:val="32"/>
          <w:szCs w:val="32"/>
        </w:rPr>
        <w:t>%</w:t>
      </w:r>
      <w:r>
        <w:rPr>
          <w:rFonts w:hint="eastAsia" w:ascii="仿宋" w:hAnsi="仿宋" w:eastAsia="仿宋"/>
          <w:color w:val="000000"/>
          <w:sz w:val="32"/>
          <w:szCs w:val="32"/>
        </w:rPr>
        <w:t>；项目支出10.3万元，占14.33</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ascii="仿宋" w:hAnsi="仿宋" w:eastAsia="仿宋"/>
          <w:color w:val="000000"/>
          <w:sz w:val="32"/>
          <w:szCs w:val="32"/>
        </w:rPr>
      </w:pPr>
      <w:r>
        <w:rPr>
          <w:rFonts w:hint="eastAsia" w:ascii="仿宋" w:hAnsi="仿宋" w:eastAsia="仿宋"/>
          <w:color w:val="000000"/>
          <w:sz w:val="32"/>
          <w:szCs w:val="32"/>
        </w:rPr>
        <w:object>
          <v:shape id="_x0000_i1027" o:spt="75" type="#_x0000_t75" style="height:222.75pt;width:258.75pt;" o:ole="t" filled="f" o:preferrelative="t" stroked="f" coordsize="21600,21600">
            <v:path/>
            <v:fill on="f" focussize="0,0"/>
            <v:stroke on="f"/>
            <v:imagedata r:id="rId11" o:title=""/>
            <o:lock v:ext="edit" aspectratio="t"/>
            <w10:wrap type="none"/>
            <w10:anchorlock/>
          </v:shape>
          <o:OLEObject Type="Embed" ProgID="Excel.Chart.8" ShapeID="_x0000_i1027" DrawAspect="Content" ObjectID="_1468075727" r:id="rId10">
            <o:LockedField>false</o:LockedField>
          </o:OLEObject>
        </w:object>
      </w:r>
    </w:p>
    <w:p>
      <w:pPr>
        <w:spacing w:line="576" w:lineRule="exact"/>
        <w:ind w:firstLine="640" w:firstLineChars="200"/>
        <w:outlineLvl w:val="1"/>
        <w:rPr>
          <w:rStyle w:val="17"/>
          <w:rFonts w:ascii="黑体" w:hAnsi="黑体" w:eastAsia="黑体"/>
          <w:b w:val="0"/>
        </w:rPr>
      </w:pPr>
      <w:bookmarkStart w:id="28" w:name="_Toc15396606"/>
      <w:bookmarkStart w:id="29" w:name="_Toc15377208"/>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28"/>
      <w:bookmarkEnd w:id="29"/>
    </w:p>
    <w:p>
      <w:pPr>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21年财政拨款收、支总计71.88万元。</w:t>
      </w:r>
      <w:bookmarkStart w:id="30" w:name="_Toc15377209"/>
      <w:bookmarkStart w:id="31" w:name="_Toc15396607"/>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21年财政拨款收、支相比减少6.91万元，减少8.77</w:t>
      </w:r>
      <w:r>
        <w:rPr>
          <w:rFonts w:ascii="仿宋" w:hAnsi="仿宋" w:eastAsia="仿宋"/>
          <w:color w:val="000000"/>
          <w:sz w:val="32"/>
          <w:szCs w:val="32"/>
        </w:rPr>
        <w:t>%</w:t>
      </w:r>
      <w:r>
        <w:rPr>
          <w:rFonts w:hint="eastAsia" w:ascii="仿宋" w:hAnsi="仿宋" w:eastAsia="仿宋"/>
          <w:color w:val="000000"/>
          <w:sz w:val="32"/>
          <w:szCs w:val="32"/>
        </w:rPr>
        <w:t>。主要变动原因是项目经费压缩。</w:t>
      </w:r>
    </w:p>
    <w:p>
      <w:pPr>
        <w:jc w:val="center"/>
        <w:rPr>
          <w:rFonts w:ascii="仿宋" w:hAnsi="仿宋" w:eastAsia="仿宋"/>
          <w:color w:val="000000"/>
          <w:sz w:val="32"/>
          <w:szCs w:val="32"/>
        </w:rPr>
      </w:pPr>
      <w:r>
        <w:rPr>
          <w:rFonts w:hint="eastAsia" w:ascii="仿宋" w:hAnsi="仿宋" w:eastAsia="仿宋"/>
          <w:color w:val="000000"/>
          <w:sz w:val="32"/>
          <w:szCs w:val="32"/>
        </w:rPr>
        <w:object>
          <v:shape id="_x0000_i1028" o:spt="75" type="#_x0000_t75" style="height:200.25pt;width:258.75pt;" o:ole="t" filled="f" o:preferrelative="t" stroked="f" coordsize="21600,21600">
            <v:path/>
            <v:fill on="f" focussize="0,0"/>
            <v:stroke on="f"/>
            <v:imagedata r:id="rId13" o:title=""/>
            <o:lock v:ext="edit" aspectratio="t"/>
            <w10:wrap type="none"/>
            <w10:anchorlock/>
          </v:shape>
          <o:OLEObject Type="Embed" ProgID="Excel.Chart.8" ShapeID="_x0000_i1028" DrawAspect="Content" ObjectID="_1468075728" r:id="rId12">
            <o:LockedField>false</o:LockedField>
          </o:OLEObject>
        </w:object>
      </w:r>
    </w:p>
    <w:p>
      <w:pPr>
        <w:spacing w:line="576" w:lineRule="exact"/>
        <w:ind w:firstLine="640" w:firstLineChars="200"/>
        <w:rPr>
          <w:rStyle w:val="1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0"/>
      <w:bookmarkEnd w:id="31"/>
    </w:p>
    <w:p>
      <w:pPr>
        <w:spacing w:line="576"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21年一般公共预算财政拨款支出71.88万元，占本年支出合计的</w:t>
      </w:r>
      <w:r>
        <w:rPr>
          <w:rFonts w:ascii="仿宋" w:hAnsi="仿宋" w:eastAsia="仿宋"/>
          <w:color w:val="000000"/>
          <w:sz w:val="32"/>
          <w:szCs w:val="32"/>
        </w:rPr>
        <w:t>100%</w:t>
      </w:r>
      <w:r>
        <w:rPr>
          <w:rFonts w:hint="eastAsia" w:ascii="仿宋" w:hAnsi="仿宋" w:eastAsia="仿宋"/>
          <w:color w:val="000000"/>
          <w:sz w:val="32"/>
          <w:szCs w:val="32"/>
        </w:rPr>
        <w:t>。</w:t>
      </w:r>
      <w:bookmarkStart w:id="33" w:name="_Toc15377211"/>
      <w:r>
        <w:rPr>
          <w:rFonts w:hint="eastAsia" w:ascii="仿宋" w:hAnsi="仿宋" w:eastAsia="仿宋"/>
          <w:color w:val="000000"/>
          <w:sz w:val="32"/>
          <w:szCs w:val="32"/>
        </w:rPr>
        <w:t>与20年一般公共预算财政拨款相比减少6.91万元，减少8.77</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ascii="仿宋" w:hAnsi="仿宋" w:eastAsia="仿宋"/>
          <w:color w:val="000000"/>
          <w:sz w:val="32"/>
          <w:szCs w:val="32"/>
        </w:rPr>
      </w:pPr>
      <w:r>
        <w:rPr>
          <w:rFonts w:hint="eastAsia" w:ascii="仿宋" w:hAnsi="仿宋" w:eastAsia="仿宋"/>
          <w:color w:val="000000"/>
          <w:sz w:val="32"/>
          <w:szCs w:val="32"/>
        </w:rPr>
        <w:object>
          <v:shape id="_x0000_i1029" o:spt="75" type="#_x0000_t75" style="height:222.75pt;width:258.75pt;" o:ole="t" filled="f" o:preferrelative="t" stroked="f" coordsize="21600,21600">
            <v:path/>
            <v:fill on="f" focussize="0,0"/>
            <v:stroke on="f"/>
            <v:imagedata r:id="rId15" o:title=""/>
            <o:lock v:ext="edit" aspectratio="t"/>
            <w10:wrap type="none"/>
            <w10:anchorlock/>
          </v:shape>
          <o:OLEObject Type="Embed" ProgID="Excel.Chart.8" ShapeID="_x0000_i1029" DrawAspect="Content" ObjectID="_1468075729" r:id="rId14">
            <o:LockedField>false</o:LockedField>
          </o:OLEObject>
        </w:object>
      </w:r>
    </w:p>
    <w:p>
      <w:pPr>
        <w:spacing w:line="576"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3"/>
    </w:p>
    <w:p>
      <w:pPr>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21年一般公共预算财政拨款支出71.88万元，主要用于以下方面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支出59.73万元，占83.10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支出6.21万元，占8.64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卫生健康</w:t>
      </w:r>
      <w:r>
        <w:rPr>
          <w:rFonts w:hint="eastAsia" w:ascii="仿宋" w:hAnsi="仿宋" w:eastAsia="仿宋"/>
          <w:color w:val="000000"/>
          <w:sz w:val="32"/>
          <w:szCs w:val="32"/>
        </w:rPr>
        <w:t>支出3.16万元，占4.40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住房保障</w:t>
      </w:r>
      <w:r>
        <w:rPr>
          <w:rFonts w:hint="eastAsia" w:ascii="仿宋" w:hAnsi="仿宋" w:eastAsia="仿宋"/>
          <w:color w:val="000000"/>
          <w:sz w:val="32"/>
          <w:szCs w:val="32"/>
        </w:rPr>
        <w:t>支出</w:t>
      </w:r>
      <w:r>
        <w:rPr>
          <w:rFonts w:ascii="仿宋" w:hAnsi="仿宋" w:eastAsia="仿宋"/>
          <w:color w:val="000000"/>
          <w:sz w:val="32"/>
          <w:szCs w:val="32"/>
        </w:rPr>
        <w:t>2.</w:t>
      </w:r>
      <w:r>
        <w:rPr>
          <w:rFonts w:hint="eastAsia" w:ascii="仿宋" w:hAnsi="仿宋" w:eastAsia="仿宋"/>
          <w:color w:val="000000"/>
          <w:sz w:val="32"/>
          <w:szCs w:val="32"/>
        </w:rPr>
        <w:t>78万元，占3.87</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ascii="仿宋" w:hAnsi="仿宋" w:eastAsia="仿宋"/>
          <w:color w:val="000000"/>
          <w:sz w:val="32"/>
          <w:szCs w:val="32"/>
        </w:rPr>
      </w:pPr>
      <w:r>
        <w:rPr>
          <w:rFonts w:hint="eastAsia" w:ascii="仿宋" w:hAnsi="仿宋" w:eastAsia="仿宋"/>
          <w:color w:val="000000"/>
          <w:sz w:val="32"/>
          <w:szCs w:val="32"/>
        </w:rPr>
        <w:object>
          <v:shape id="_x0000_i1030" o:spt="75" type="#_x0000_t75" style="height:171.75pt;width:319.5pt;" o:ole="t" filled="f" o:preferrelative="t" stroked="f" coordsize="21600,21600">
            <v:path/>
            <v:fill on="f" focussize="0,0"/>
            <v:stroke on="f"/>
            <v:imagedata r:id="rId17" o:title=""/>
            <o:lock v:ext="edit" aspectratio="t"/>
            <w10:wrap type="none"/>
            <w10:anchorlock/>
          </v:shape>
          <o:OLEObject Type="Embed" ProgID="Excel.Chart.8" ShapeID="_x0000_i1030" DrawAspect="Content" ObjectID="_1468075730" r:id="rId16">
            <o:LockedField>false</o:LockedField>
          </o:OLEObject>
        </w:object>
      </w:r>
    </w:p>
    <w:p>
      <w:pPr>
        <w:ind w:firstLine="640" w:firstLineChars="200"/>
        <w:rPr>
          <w:rFonts w:ascii="仿宋" w:hAnsi="仿宋" w:eastAsia="仿宋"/>
          <w:color w:val="000000"/>
          <w:sz w:val="32"/>
          <w:szCs w:val="32"/>
        </w:rPr>
      </w:pPr>
    </w:p>
    <w:p>
      <w:pPr>
        <w:spacing w:line="576"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576" w:lineRule="exact"/>
        <w:ind w:firstLine="643" w:firstLineChars="200"/>
        <w:outlineLvl w:val="2"/>
        <w:rPr>
          <w:rFonts w:ascii="仿宋" w:hAnsi="仿宋" w:eastAsia="仿宋"/>
          <w:color w:val="FF0000"/>
          <w:sz w:val="32"/>
          <w:szCs w:val="32"/>
        </w:rPr>
      </w:pPr>
      <w:bookmarkStart w:id="35" w:name="_Toc15377444"/>
      <w:bookmarkStart w:id="36" w:name="_Toc15377213"/>
      <w:bookmarkStart w:id="37" w:name="_Toc15378460"/>
      <w:r>
        <w:rPr>
          <w:rFonts w:ascii="仿宋" w:hAnsi="仿宋" w:eastAsia="仿宋"/>
          <w:b/>
          <w:color w:val="000000"/>
          <w:sz w:val="32"/>
          <w:szCs w:val="32"/>
        </w:rPr>
        <w:t>20</w:t>
      </w:r>
      <w:r>
        <w:rPr>
          <w:rFonts w:hint="eastAsia" w:ascii="仿宋" w:hAnsi="仿宋" w:eastAsia="仿宋"/>
          <w:b/>
          <w:color w:val="000000"/>
          <w:sz w:val="32"/>
          <w:szCs w:val="32"/>
        </w:rPr>
        <w:t>21年一般公共预算支出决算数为71.88万元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。其中：</w:t>
      </w:r>
      <w:bookmarkEnd w:id="35"/>
      <w:bookmarkEnd w:id="36"/>
      <w:bookmarkEnd w:id="37"/>
    </w:p>
    <w:p>
      <w:pPr>
        <w:spacing w:line="576" w:lineRule="exact"/>
        <w:ind w:firstLine="643" w:firstLineChars="200"/>
        <w:rPr>
          <w:rStyle w:val="15"/>
          <w:rFonts w:ascii="仿宋" w:hAnsi="仿宋" w:eastAsia="仿宋"/>
          <w:bCs/>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p>
    <w:p>
      <w:pPr>
        <w:spacing w:line="576"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2012801</w:t>
      </w:r>
      <w:r>
        <w:rPr>
          <w:rStyle w:val="15"/>
          <w:rFonts w:hint="eastAsia" w:ascii="仿宋" w:hAnsi="仿宋" w:eastAsia="仿宋"/>
          <w:b w:val="0"/>
          <w:bCs/>
          <w:color w:val="000000"/>
          <w:sz w:val="32"/>
          <w:szCs w:val="32"/>
        </w:rPr>
        <w:t>行政运行支出决算为49.42万元，完成预算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576"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2012802</w:t>
      </w:r>
      <w:r>
        <w:rPr>
          <w:rStyle w:val="15"/>
          <w:rFonts w:hint="eastAsia" w:ascii="仿宋" w:hAnsi="仿宋" w:eastAsia="仿宋"/>
          <w:b w:val="0"/>
          <w:bCs/>
          <w:color w:val="000000"/>
          <w:sz w:val="32"/>
          <w:szCs w:val="32"/>
        </w:rPr>
        <w:t>一般行政管理事务支出决算为10.3万元，完成预算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576" w:lineRule="exact"/>
        <w:ind w:firstLine="643" w:firstLineChars="200"/>
        <w:rPr>
          <w:rStyle w:val="15"/>
          <w:rFonts w:ascii="仿宋" w:hAnsi="仿宋" w:eastAsia="仿宋"/>
          <w:bCs/>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社会保障和就业（类）</w:t>
      </w:r>
      <w:r>
        <w:rPr>
          <w:rStyle w:val="15"/>
          <w:rFonts w:ascii="仿宋" w:hAnsi="仿宋" w:eastAsia="仿宋"/>
          <w:bCs/>
          <w:color w:val="000000"/>
          <w:sz w:val="32"/>
          <w:szCs w:val="32"/>
        </w:rPr>
        <w:t>:</w:t>
      </w:r>
    </w:p>
    <w:p>
      <w:pPr>
        <w:spacing w:line="576"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2080505</w:t>
      </w:r>
      <w:r>
        <w:rPr>
          <w:rStyle w:val="15"/>
          <w:rFonts w:hint="eastAsia" w:ascii="仿宋" w:hAnsi="仿宋" w:eastAsia="仿宋"/>
          <w:b w:val="0"/>
          <w:bCs/>
          <w:color w:val="000000"/>
          <w:sz w:val="32"/>
          <w:szCs w:val="32"/>
        </w:rPr>
        <w:t>机关事业单位基本养老保险费支出3.71万元，完成预算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576"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208</w:t>
      </w:r>
      <w:r>
        <w:rPr>
          <w:rStyle w:val="15"/>
          <w:rFonts w:hint="eastAsia" w:ascii="仿宋" w:hAnsi="仿宋" w:eastAsia="仿宋"/>
          <w:b w:val="0"/>
          <w:bCs/>
          <w:color w:val="000000"/>
          <w:sz w:val="32"/>
          <w:szCs w:val="32"/>
        </w:rPr>
        <w:t>05</w:t>
      </w:r>
      <w:r>
        <w:rPr>
          <w:rStyle w:val="15"/>
          <w:rFonts w:ascii="仿宋" w:hAnsi="仿宋" w:eastAsia="仿宋"/>
          <w:b w:val="0"/>
          <w:bCs/>
          <w:color w:val="000000"/>
          <w:sz w:val="32"/>
          <w:szCs w:val="32"/>
        </w:rPr>
        <w:t>01</w:t>
      </w:r>
      <w:r>
        <w:rPr>
          <w:rStyle w:val="15"/>
          <w:rFonts w:hint="eastAsia" w:ascii="仿宋" w:hAnsi="仿宋" w:eastAsia="仿宋"/>
          <w:b w:val="0"/>
          <w:bCs/>
          <w:color w:val="000000"/>
          <w:sz w:val="32"/>
          <w:szCs w:val="32"/>
        </w:rPr>
        <w:t>行政单位离退休支出决算2.5万元，完成预算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576"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卫生健康支出（类）</w:t>
      </w:r>
      <w:r>
        <w:rPr>
          <w:rStyle w:val="15"/>
          <w:rFonts w:ascii="仿宋" w:hAnsi="仿宋" w:eastAsia="仿宋"/>
          <w:bCs/>
          <w:color w:val="000000"/>
          <w:sz w:val="32"/>
          <w:szCs w:val="32"/>
        </w:rPr>
        <w:t>:</w:t>
      </w:r>
    </w:p>
    <w:p>
      <w:pPr>
        <w:spacing w:line="576" w:lineRule="exact"/>
        <w:ind w:firstLine="640" w:firstLineChars="200"/>
        <w:rPr>
          <w:rFonts w:ascii="仿宋" w:hAnsi="仿宋" w:eastAsia="仿宋"/>
          <w:b/>
          <w:color w:val="000000"/>
          <w:sz w:val="32"/>
          <w:szCs w:val="32"/>
        </w:rPr>
      </w:pPr>
      <w:r>
        <w:rPr>
          <w:rStyle w:val="15"/>
          <w:rFonts w:ascii="仿宋" w:hAnsi="仿宋" w:eastAsia="仿宋"/>
          <w:b w:val="0"/>
          <w:bCs/>
          <w:color w:val="000000"/>
          <w:sz w:val="32"/>
          <w:szCs w:val="32"/>
        </w:rPr>
        <w:t>2101101</w:t>
      </w:r>
      <w:r>
        <w:rPr>
          <w:rStyle w:val="15"/>
          <w:rFonts w:hint="eastAsia" w:ascii="仿宋" w:hAnsi="仿宋" w:eastAsia="仿宋"/>
          <w:bCs/>
          <w:color w:val="000000"/>
          <w:sz w:val="32"/>
          <w:szCs w:val="32"/>
        </w:rPr>
        <w:t>行政单位医疗</w:t>
      </w:r>
      <w:r>
        <w:rPr>
          <w:rStyle w:val="15"/>
          <w:rFonts w:hint="eastAsia" w:ascii="仿宋" w:hAnsi="仿宋" w:eastAsia="仿宋"/>
          <w:b w:val="0"/>
          <w:bCs/>
          <w:color w:val="000000"/>
          <w:sz w:val="32"/>
          <w:szCs w:val="32"/>
        </w:rPr>
        <w:t>支出决算为2.18万元，完成预算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576" w:lineRule="exact"/>
        <w:ind w:firstLine="640" w:firstLineChars="200"/>
        <w:rPr>
          <w:rFonts w:ascii="仿宋" w:hAnsi="仿宋" w:eastAsia="仿宋"/>
          <w:b/>
          <w:color w:val="000000"/>
          <w:sz w:val="32"/>
          <w:szCs w:val="32"/>
        </w:rPr>
      </w:pPr>
      <w:r>
        <w:rPr>
          <w:rStyle w:val="15"/>
          <w:rFonts w:ascii="仿宋" w:hAnsi="仿宋" w:eastAsia="仿宋"/>
          <w:b w:val="0"/>
          <w:bCs/>
          <w:color w:val="000000"/>
          <w:sz w:val="32"/>
          <w:szCs w:val="32"/>
        </w:rPr>
        <w:t>2101103</w:t>
      </w:r>
      <w:r>
        <w:rPr>
          <w:rStyle w:val="15"/>
          <w:rFonts w:hint="eastAsia" w:ascii="仿宋" w:hAnsi="仿宋" w:eastAsia="仿宋"/>
          <w:bCs/>
          <w:color w:val="000000"/>
          <w:sz w:val="32"/>
          <w:szCs w:val="32"/>
        </w:rPr>
        <w:t>公务员医疗补助</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0.</w:t>
      </w:r>
      <w:r>
        <w:rPr>
          <w:rStyle w:val="15"/>
          <w:rFonts w:hint="eastAsia" w:ascii="仿宋" w:hAnsi="仿宋" w:eastAsia="仿宋"/>
          <w:b w:val="0"/>
          <w:bCs/>
          <w:color w:val="000000"/>
          <w:sz w:val="32"/>
          <w:szCs w:val="32"/>
        </w:rPr>
        <w:t>98万元，完成预算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576" w:lineRule="exact"/>
        <w:ind w:firstLine="640"/>
        <w:rPr>
          <w:rFonts w:ascii="仿宋" w:hAnsi="仿宋" w:eastAsia="仿宋"/>
          <w:b/>
          <w:color w:val="000000"/>
          <w:sz w:val="32"/>
          <w:szCs w:val="32"/>
        </w:rPr>
      </w:pPr>
      <w:r>
        <w:rPr>
          <w:rFonts w:hint="eastAsia" w:ascii="仿宋" w:hAnsi="仿宋" w:eastAsia="仿宋"/>
          <w:b/>
          <w:color w:val="000000"/>
          <w:sz w:val="32"/>
          <w:szCs w:val="32"/>
        </w:rPr>
        <w:t>4</w:t>
      </w:r>
      <w:r>
        <w:rPr>
          <w:rFonts w:ascii="仿宋" w:hAnsi="仿宋" w:eastAsia="仿宋"/>
          <w:b/>
          <w:color w:val="000000"/>
          <w:sz w:val="32"/>
          <w:szCs w:val="32"/>
        </w:rPr>
        <w:t>.</w:t>
      </w:r>
      <w:r>
        <w:rPr>
          <w:rFonts w:hint="eastAsia" w:ascii="仿宋" w:hAnsi="仿宋" w:eastAsia="仿宋"/>
          <w:b/>
          <w:color w:val="000000"/>
          <w:sz w:val="32"/>
          <w:szCs w:val="32"/>
        </w:rPr>
        <w:t>住房保障支出（类）</w:t>
      </w:r>
    </w:p>
    <w:p>
      <w:pPr>
        <w:spacing w:line="576" w:lineRule="exact"/>
        <w:ind w:firstLine="640" w:firstLineChars="200"/>
        <w:rPr>
          <w:rFonts w:ascii="仿宋" w:hAnsi="仿宋" w:eastAsia="仿宋"/>
          <w:color w:val="000000"/>
          <w:sz w:val="32"/>
          <w:szCs w:val="32"/>
        </w:rPr>
      </w:pPr>
      <w:r>
        <w:rPr>
          <w:rFonts w:ascii="仿宋" w:hAnsi="仿宋" w:eastAsia="仿宋"/>
          <w:color w:val="000000"/>
          <w:sz w:val="32"/>
          <w:szCs w:val="32"/>
        </w:rPr>
        <w:t>2210201</w:t>
      </w:r>
      <w:r>
        <w:rPr>
          <w:rFonts w:hint="eastAsia" w:ascii="仿宋" w:hAnsi="仿宋" w:eastAsia="仿宋"/>
          <w:color w:val="000000"/>
          <w:sz w:val="32"/>
          <w:szCs w:val="32"/>
        </w:rPr>
        <w:t>住房公积金支出决算</w:t>
      </w:r>
      <w:r>
        <w:rPr>
          <w:rFonts w:ascii="仿宋" w:hAnsi="仿宋" w:eastAsia="仿宋"/>
          <w:color w:val="000000"/>
          <w:sz w:val="32"/>
          <w:szCs w:val="32"/>
        </w:rPr>
        <w:t>2.</w:t>
      </w:r>
      <w:r>
        <w:rPr>
          <w:rFonts w:hint="eastAsia" w:ascii="仿宋" w:hAnsi="仿宋" w:eastAsia="仿宋"/>
          <w:color w:val="000000"/>
          <w:sz w:val="32"/>
          <w:szCs w:val="32"/>
        </w:rPr>
        <w:t>78万元，完成预算</w:t>
      </w:r>
      <w:r>
        <w:rPr>
          <w:rFonts w:ascii="仿宋" w:hAnsi="仿宋" w:eastAsia="仿宋"/>
          <w:color w:val="000000"/>
          <w:sz w:val="32"/>
          <w:szCs w:val="32"/>
        </w:rPr>
        <w:t>100%</w:t>
      </w:r>
      <w:r>
        <w:rPr>
          <w:rFonts w:hint="eastAsia" w:ascii="仿宋" w:hAnsi="仿宋" w:eastAsia="仿宋"/>
          <w:color w:val="000000"/>
          <w:sz w:val="32"/>
          <w:szCs w:val="32"/>
        </w:rPr>
        <w:t>。</w:t>
      </w:r>
    </w:p>
    <w:p>
      <w:pPr>
        <w:tabs>
          <w:tab w:val="right" w:pos="8306"/>
        </w:tabs>
        <w:spacing w:line="576" w:lineRule="exact"/>
        <w:ind w:firstLine="640"/>
        <w:outlineLvl w:val="1"/>
        <w:rPr>
          <w:rStyle w:val="17"/>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38"/>
      <w:bookmarkEnd w:id="39"/>
      <w:r>
        <w:rPr>
          <w:rStyle w:val="17"/>
          <w:rFonts w:ascii="黑体" w:hAnsi="黑体" w:eastAsia="黑体"/>
          <w:b w:val="0"/>
        </w:rPr>
        <w:tab/>
      </w:r>
    </w:p>
    <w:p>
      <w:pPr>
        <w:spacing w:line="576"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21年一般公共预算财政拨款基本支出61.58万元，其中：</w:t>
      </w:r>
    </w:p>
    <w:p>
      <w:pPr>
        <w:spacing w:line="576" w:lineRule="exact"/>
        <w:ind w:firstLine="645"/>
        <w:rPr>
          <w:rFonts w:ascii="仿宋" w:hAnsi="仿宋" w:eastAsia="仿宋"/>
          <w:color w:val="000000"/>
          <w:sz w:val="32"/>
          <w:szCs w:val="32"/>
        </w:rPr>
      </w:pPr>
      <w:r>
        <w:rPr>
          <w:rFonts w:hint="eastAsia" w:ascii="仿宋" w:hAnsi="仿宋" w:eastAsia="仿宋"/>
          <w:color w:val="000000"/>
          <w:sz w:val="32"/>
          <w:szCs w:val="32"/>
        </w:rPr>
        <w:t>人员经费51.73万元，主要包括：基本工资、津贴补贴、奖金、绩效工资、机关事业单位基本养老保险缴费、其他社会保障缴费、其他工资福利支出、生活补助、医疗费、奖励金、住房公积金等。</w:t>
      </w:r>
      <w:r>
        <w:rPr>
          <w:rFonts w:ascii="仿宋" w:hAnsi="仿宋" w:eastAsia="仿宋"/>
          <w:color w:val="000000"/>
          <w:sz w:val="32"/>
          <w:szCs w:val="32"/>
        </w:rPr>
        <w:br w:type="textWrapping"/>
      </w:r>
      <w:r>
        <w:rPr>
          <w:rFonts w:ascii="仿宋" w:hAnsi="仿宋" w:eastAsia="仿宋"/>
          <w:color w:val="000000"/>
          <w:sz w:val="32"/>
          <w:szCs w:val="32"/>
        </w:rPr>
        <w:t xml:space="preserve">    </w:t>
      </w:r>
      <w:r>
        <w:rPr>
          <w:rFonts w:hint="eastAsia" w:ascii="仿宋" w:hAnsi="仿宋" w:eastAsia="仿宋"/>
          <w:color w:val="000000"/>
          <w:sz w:val="32"/>
          <w:szCs w:val="32"/>
        </w:rPr>
        <w:t>公用经费9.85万元，主要包括：办公费、印刷费、电费、邮电费、差旅费、工会经费、福利费、其他交通费、其他商品和服务支出、办公设备购置等。</w:t>
      </w:r>
    </w:p>
    <w:p>
      <w:pPr>
        <w:spacing w:line="576" w:lineRule="exact"/>
        <w:ind w:firstLine="640"/>
        <w:outlineLvl w:val="1"/>
        <w:rPr>
          <w:rStyle w:val="17"/>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0"/>
      <w:bookmarkEnd w:id="41"/>
    </w:p>
    <w:p>
      <w:pPr>
        <w:spacing w:line="576"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576"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21年“三公”经费财政拨款支出决算为0元。</w:t>
      </w:r>
    </w:p>
    <w:p>
      <w:pPr>
        <w:spacing w:line="576"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576"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元。</w:t>
      </w:r>
    </w:p>
    <w:p>
      <w:pPr>
        <w:spacing w:line="576"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p>
    <w:p>
      <w:pPr>
        <w:spacing w:line="576"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w:t>
      </w:r>
      <w:r>
        <w:rPr>
          <w:rFonts w:hint="eastAsia" w:ascii="仿宋_GB2312" w:eastAsia="仿宋_GB2312"/>
          <w:color w:val="000000"/>
          <w:sz w:val="32"/>
          <w:szCs w:val="32"/>
        </w:rPr>
        <w:t>元</w:t>
      </w:r>
      <w:r>
        <w:rPr>
          <w:rStyle w:val="15"/>
          <w:rFonts w:hint="eastAsia" w:ascii="仿宋" w:hAnsi="仿宋" w:eastAsia="仿宋"/>
          <w:b w:val="0"/>
          <w:bCs/>
          <w:color w:val="000000"/>
          <w:sz w:val="32"/>
          <w:szCs w:val="32"/>
        </w:rPr>
        <w:t>。</w:t>
      </w:r>
    </w:p>
    <w:p>
      <w:pPr>
        <w:spacing w:line="576" w:lineRule="exact"/>
        <w:ind w:firstLine="640"/>
        <w:outlineLvl w:val="1"/>
        <w:rPr>
          <w:rStyle w:val="17"/>
          <w:rFonts w:ascii="黑体" w:hAnsi="黑体" w:eastAsia="黑体"/>
        </w:rPr>
      </w:pPr>
      <w:bookmarkStart w:id="44" w:name="_Toc15377218"/>
      <w:bookmarkStart w:id="45" w:name="_Toc15396610"/>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44"/>
      <w:bookmarkEnd w:id="45"/>
    </w:p>
    <w:p>
      <w:pPr>
        <w:spacing w:line="576"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3"/>
        </w:numPr>
        <w:spacing w:line="576" w:lineRule="exact"/>
        <w:ind w:firstLine="640"/>
        <w:outlineLvl w:val="1"/>
        <w:rPr>
          <w:rStyle w:val="17"/>
          <w:rFonts w:ascii="黑体" w:hAnsi="黑体" w:eastAsia="黑体"/>
          <w:b w:val="0"/>
        </w:rPr>
      </w:pPr>
      <w:bookmarkStart w:id="46" w:name="_Toc15396611"/>
      <w:bookmarkStart w:id="47" w:name="_Toc15377219"/>
      <w:r>
        <w:rPr>
          <w:rStyle w:val="17"/>
          <w:rFonts w:hint="eastAsia" w:ascii="黑体" w:hAnsi="黑体" w:eastAsia="黑体"/>
          <w:b w:val="0"/>
        </w:rPr>
        <w:t>国有资本经营预算支出决算情况说明</w:t>
      </w:r>
      <w:bookmarkEnd w:id="46"/>
      <w:bookmarkEnd w:id="47"/>
    </w:p>
    <w:p>
      <w:pPr>
        <w:spacing w:line="576"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Style w:val="28"/>
        <w:numPr>
          <w:ilvl w:val="0"/>
          <w:numId w:val="4"/>
        </w:numPr>
        <w:spacing w:line="576" w:lineRule="exact"/>
        <w:ind w:firstLineChars="0"/>
        <w:rPr>
          <w:rStyle w:val="17"/>
          <w:rFonts w:ascii="黑体" w:hAnsi="黑体" w:eastAsia="黑体"/>
          <w:b w:val="0"/>
        </w:rPr>
      </w:pPr>
      <w:r>
        <w:rPr>
          <w:rStyle w:val="17"/>
          <w:rFonts w:hint="eastAsia" w:ascii="黑体" w:hAnsi="黑体" w:eastAsia="黑体"/>
          <w:b w:val="0"/>
        </w:rPr>
        <w:t>预算绩效情况说明</w:t>
      </w:r>
    </w:p>
    <w:p>
      <w:pPr>
        <w:spacing w:line="576" w:lineRule="exact"/>
        <w:ind w:left="710"/>
        <w:rPr>
          <w:rStyle w:val="17"/>
          <w:rFonts w:ascii="黑体" w:hAnsi="黑体" w:eastAsia="黑体"/>
          <w:b w:val="0"/>
        </w:rPr>
      </w:pPr>
      <w:r>
        <w:rPr>
          <w:rFonts w:hint="eastAsia" w:ascii="仿宋" w:hAnsi="仿宋" w:eastAsia="仿宋" w:cs="楷体_GB2312"/>
          <w:b/>
          <w:bCs/>
          <w:sz w:val="32"/>
          <w:szCs w:val="32"/>
        </w:rPr>
        <w:t>（一）预算绩效管理工作开展情况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根据预算绩效管理要求，本部门（单位）在年初预算编制阶段，组织对民营经济考察调研经费项目开展了预算事前绩效评估，对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个项目开展了绩效目标完成情况梳理填报。</w:t>
      </w:r>
    </w:p>
    <w:p>
      <w:pPr>
        <w:spacing w:line="576" w:lineRule="exact"/>
        <w:ind w:firstLine="566" w:firstLineChars="177"/>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21年部门整体支出开展绩效自评，我单位整体支出总体良好，各项目标达到相应时期的执行进度，各项目经费按预算实施，财政收支得到了良好的实施效果。</w:t>
      </w:r>
    </w:p>
    <w:p>
      <w:pPr>
        <w:spacing w:line="576" w:lineRule="exact"/>
        <w:ind w:firstLine="643" w:firstLineChars="200"/>
        <w:rPr>
          <w:rFonts w:ascii="仿宋_GB2312" w:hAnsi="仿宋_GB2312" w:eastAsia="仿宋_GB2312" w:cs="仿宋_GB2312"/>
          <w:sz w:val="32"/>
          <w:szCs w:val="32"/>
        </w:rPr>
      </w:pPr>
      <w:r>
        <w:rPr>
          <w:rFonts w:ascii="仿宋" w:hAnsi="仿宋" w:eastAsia="仿宋" w:cs="楷体_GB2312"/>
          <w:b/>
          <w:bCs/>
          <w:sz w:val="32"/>
          <w:szCs w:val="32"/>
        </w:rPr>
        <w:t xml:space="preserve"> (</w:t>
      </w:r>
      <w:r>
        <w:rPr>
          <w:rFonts w:hint="eastAsia" w:ascii="仿宋" w:hAnsi="仿宋" w:eastAsia="仿宋" w:cs="楷体_GB2312"/>
          <w:b/>
          <w:bCs/>
          <w:sz w:val="32"/>
          <w:szCs w:val="32"/>
        </w:rPr>
        <w:t>二</w:t>
      </w:r>
      <w:r>
        <w:rPr>
          <w:rFonts w:ascii="仿宋" w:hAnsi="仿宋" w:eastAsia="仿宋" w:cs="楷体_GB2312"/>
          <w:b/>
          <w:bCs/>
          <w:sz w:val="32"/>
          <w:szCs w:val="32"/>
        </w:rPr>
        <w:t>)</w:t>
      </w:r>
      <w:r>
        <w:rPr>
          <w:rFonts w:hint="eastAsia" w:ascii="仿宋" w:hAnsi="仿宋" w:eastAsia="仿宋" w:cs="楷体_GB2312"/>
          <w:b/>
          <w:bCs/>
          <w:sz w:val="32"/>
          <w:szCs w:val="32"/>
        </w:rPr>
        <w:t>项目绩效目标完成情况</w:t>
      </w:r>
    </w:p>
    <w:p>
      <w:pPr>
        <w:pStyle w:val="12"/>
        <w:spacing w:line="576" w:lineRule="exact"/>
        <w:ind w:left="38" w:leftChars="18" w:right="40" w:firstLine="640" w:firstLineChars="200"/>
        <w:jc w:val="left"/>
        <w:rPr>
          <w:rFonts w:ascii="仿宋" w:hAnsi="仿宋" w:eastAsia="仿宋"/>
          <w:b/>
          <w:sz w:val="32"/>
        </w:rPr>
      </w:pPr>
      <w:r>
        <w:rPr>
          <w:rFonts w:hint="eastAsia" w:ascii="仿宋_GB2312" w:hAnsi="仿宋_GB2312" w:cs="仿宋_GB2312"/>
          <w:sz w:val="32"/>
        </w:rPr>
        <w:t>民营经济考察调研项目绩效目标完成情况综述。项目全年预算数10.3万元，执行数为10.3万元，完成预算的</w:t>
      </w:r>
      <w:r>
        <w:rPr>
          <w:rFonts w:ascii="仿宋_GB2312" w:hAnsi="仿宋_GB2312" w:cs="仿宋_GB2312"/>
          <w:sz w:val="32"/>
        </w:rPr>
        <w:t>100%</w:t>
      </w:r>
      <w:r>
        <w:rPr>
          <w:rFonts w:hint="eastAsia" w:ascii="仿宋_GB2312" w:hAnsi="仿宋_GB2312" w:cs="仿宋_GB2312"/>
          <w:sz w:val="32"/>
        </w:rPr>
        <w:t>。通过项目的实施，</w:t>
      </w:r>
      <w:r>
        <w:rPr>
          <w:rFonts w:hint="eastAsia" w:ascii="仿宋" w:hAnsi="仿宋" w:eastAsia="仿宋"/>
          <w:sz w:val="32"/>
        </w:rPr>
        <w:t>一是积极发展经济成长好、科技含量高的非公企业入会，新发展会员53名。二是商会网络不断完善。指导成都南江商会筹备召开第二次会员代表大会；酝酿筹建西安南江商会、南江县房地产行业商会、南江县长赤商会，形成了以</w:t>
      </w:r>
      <w:r>
        <w:rPr>
          <w:rFonts w:hint="eastAsia" w:ascii="仿宋" w:hAnsi="仿宋" w:eastAsia="仿宋" w:cs="仿宋_GB2312"/>
          <w:color w:val="000000"/>
          <w:sz w:val="32"/>
        </w:rPr>
        <w:t>中心乡镇商会、行业商会、异地商会和城市商业综合体商会为框架的商会组织体系，</w:t>
      </w:r>
      <w:r>
        <w:rPr>
          <w:rFonts w:hint="eastAsia" w:ascii="仿宋" w:hAnsi="仿宋" w:eastAsia="仿宋"/>
          <w:sz w:val="32"/>
        </w:rPr>
        <w:t>商会已成为广大非公经济人士与政府沟通的桥梁和纽带，为南江的经济社会发展做出了新贡献。</w:t>
      </w:r>
    </w:p>
    <w:tbl>
      <w:tblPr>
        <w:tblStyle w:val="13"/>
        <w:tblpPr w:leftFromText="180" w:rightFromText="180" w:vertAnchor="text" w:horzAnchor="page" w:tblpXSpec="center" w:tblpY="423"/>
        <w:tblOverlap w:val="never"/>
        <w:tblW w:w="8804" w:type="dxa"/>
        <w:tblInd w:w="0" w:type="dxa"/>
        <w:tblLayout w:type="fixed"/>
        <w:tblCellMar>
          <w:top w:w="0" w:type="dxa"/>
          <w:left w:w="0" w:type="dxa"/>
          <w:bottom w:w="0" w:type="dxa"/>
          <w:right w:w="0" w:type="dxa"/>
        </w:tblCellMar>
      </w:tblPr>
      <w:tblGrid>
        <w:gridCol w:w="390"/>
        <w:gridCol w:w="1367"/>
        <w:gridCol w:w="1025"/>
        <w:gridCol w:w="2392"/>
        <w:gridCol w:w="2394"/>
        <w:gridCol w:w="1236"/>
      </w:tblGrid>
      <w:tr>
        <w:tblPrEx>
          <w:tblCellMar>
            <w:top w:w="0" w:type="dxa"/>
            <w:left w:w="0" w:type="dxa"/>
            <w:bottom w:w="0" w:type="dxa"/>
            <w:right w:w="0" w:type="dxa"/>
          </w:tblCellMar>
        </w:tblPrEx>
        <w:trPr>
          <w:trHeight w:val="1034" w:hRule="atLeast"/>
        </w:trPr>
        <w:tc>
          <w:tcPr>
            <w:tcW w:w="8804" w:type="dxa"/>
            <w:gridSpan w:val="6"/>
            <w:tcMar>
              <w:top w:w="15" w:type="dxa"/>
              <w:left w:w="15" w:type="dxa"/>
              <w:bottom w:w="0" w:type="dxa"/>
              <w:right w:w="15" w:type="dxa"/>
            </w:tcMar>
            <w:vAlign w:val="center"/>
          </w:tcPr>
          <w:p>
            <w:pPr>
              <w:pStyle w:val="28"/>
              <w:widowControl/>
              <w:spacing w:line="576" w:lineRule="exact"/>
              <w:ind w:left="0" w:leftChars="0" w:firstLine="0" w:firstLineChars="0"/>
              <w:jc w:val="center"/>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(20</w:t>
            </w:r>
            <w:r>
              <w:rPr>
                <w:rFonts w:hint="eastAsia" w:ascii="宋体" w:hAnsi="宋体" w:cs="宋体"/>
                <w:color w:val="000000"/>
                <w:kern w:val="0"/>
                <w:sz w:val="36"/>
                <w:szCs w:val="36"/>
              </w:rPr>
              <w:t>21年度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项目名称</w:t>
            </w:r>
          </w:p>
        </w:tc>
        <w:tc>
          <w:tcPr>
            <w:tcW w:w="602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民营经济考察调研经费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预算单位</w:t>
            </w:r>
          </w:p>
        </w:tc>
        <w:tc>
          <w:tcPr>
            <w:tcW w:w="602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南江县工商联</w:t>
            </w:r>
          </w:p>
        </w:tc>
      </w:tr>
      <w:tr>
        <w:tblPrEx>
          <w:tblCellMar>
            <w:top w:w="0" w:type="dxa"/>
            <w:left w:w="0" w:type="dxa"/>
            <w:bottom w:w="0" w:type="dxa"/>
            <w:right w:w="0" w:type="dxa"/>
          </w:tblCellMar>
        </w:tblPrEx>
        <w:trPr>
          <w:trHeight w:val="968"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10.3万元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10.3万元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10.3万元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10.3万元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r>
              <w:rPr>
                <w:rFonts w:ascii="宋体" w:hAnsi="宋体" w:cs="宋体"/>
                <w:color w:val="000000"/>
                <w:kern w:val="0"/>
                <w:sz w:val="24"/>
              </w:rPr>
              <w:t>:</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预期目标</w:t>
            </w:r>
          </w:p>
        </w:tc>
        <w:tc>
          <w:tcPr>
            <w:tcW w:w="36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年内组织单位职工到民营企业考察调研，完成成都南江商会的换届筹备工作及南江县房地产行业商会、南江长赤商会的筹建工作。</w:t>
            </w:r>
          </w:p>
        </w:tc>
        <w:tc>
          <w:tcPr>
            <w:tcW w:w="36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组织职工到成都、北京等地走访26家民营企业，完成成都南江商会的换届筹备工作；走访南江县建筑建材、房地产行业企业32个，筹备成立南江县房地产行业商会，到长赤走访企业15家，筹备成立南江长赤商会。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考察调研民营企业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58个</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58个次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成都南江商会换届筹备、南江县房地产行业商会筹备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成都南江商会换届筹备、南江县房地产行业商会筹备</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顺利完成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费用支出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10.3万元</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10.3万元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增加企业收入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不低于2</w:t>
            </w:r>
            <w:r>
              <w:rPr>
                <w:rFonts w:ascii="宋体" w:hAnsi="宋体" w:cs="宋体"/>
                <w:color w:val="000000"/>
                <w:sz w:val="24"/>
              </w:rPr>
              <w:t>00</w:t>
            </w:r>
            <w:r>
              <w:rPr>
                <w:rFonts w:hint="eastAsia" w:ascii="宋体" w:hAnsi="宋体" w:cs="宋体"/>
                <w:color w:val="000000"/>
                <w:sz w:val="24"/>
              </w:rPr>
              <w:t>万元</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2</w:t>
            </w:r>
            <w:r>
              <w:rPr>
                <w:rFonts w:ascii="宋体" w:hAnsi="宋体" w:cs="宋体"/>
                <w:color w:val="000000"/>
                <w:sz w:val="24"/>
              </w:rPr>
              <w:t>00</w:t>
            </w:r>
            <w:r>
              <w:rPr>
                <w:rFonts w:hint="eastAsia" w:ascii="宋体" w:hAnsi="宋体" w:cs="宋体"/>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民营企业间形成抱团发展的形式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企业发展合力不断增强</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发展合力不断增强</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企业满意度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hint="eastAsia" w:ascii="宋体" w:hAnsi="宋体" w:cs="宋体"/>
                <w:color w:val="000000"/>
                <w:sz w:val="24"/>
              </w:rPr>
              <w:t>低于</w:t>
            </w:r>
            <w:r>
              <w:rPr>
                <w:rFonts w:ascii="宋体" w:hAnsi="宋体" w:cs="宋体"/>
                <w:color w:val="000000"/>
                <w:sz w:val="24"/>
              </w:rPr>
              <w:t>100%</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6" w:lineRule="exact"/>
              <w:jc w:val="center"/>
              <w:textAlignment w:val="center"/>
              <w:rPr>
                <w:rFonts w:ascii="宋体" w:cs="宋体"/>
                <w:color w:val="000000"/>
                <w:sz w:val="24"/>
              </w:rPr>
            </w:pPr>
            <w:r>
              <w:rPr>
                <w:rFonts w:ascii="宋体" w:hAnsi="宋体" w:cs="宋体"/>
                <w:color w:val="000000"/>
                <w:sz w:val="24"/>
              </w:rPr>
              <w:t>100%</w:t>
            </w:r>
          </w:p>
        </w:tc>
      </w:tr>
    </w:tbl>
    <w:p>
      <w:pPr>
        <w:spacing w:line="576" w:lineRule="exact"/>
        <w:rPr>
          <w:rFonts w:ascii="仿宋_GB2312" w:hAnsi="仿宋_GB2312" w:eastAsia="仿宋_GB2312" w:cs="仿宋_GB2312"/>
          <w:sz w:val="32"/>
          <w:szCs w:val="32"/>
        </w:rPr>
      </w:pPr>
    </w:p>
    <w:p>
      <w:pPr>
        <w:spacing w:line="576" w:lineRule="exact"/>
        <w:ind w:firstLine="321" w:firstLineChars="1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21年部门整体支出绩效评价情况开展自评，《南江县工商联</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21年部门整体支出绩效评价报告》见附件。</w:t>
      </w:r>
    </w:p>
    <w:p>
      <w:pPr>
        <w:spacing w:line="576"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本部门自行组织对民营经济考察调研活动专项经费开展了绩效评价，《南江县工商联民营经济考察调研经费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21年绩效评价报告》见附件。</w:t>
      </w:r>
    </w:p>
    <w:p>
      <w:pPr>
        <w:spacing w:line="576" w:lineRule="exact"/>
        <w:ind w:firstLine="800" w:firstLineChars="250"/>
        <w:outlineLvl w:val="1"/>
        <w:rPr>
          <w:rStyle w:val="17"/>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48"/>
      <w:bookmarkEnd w:id="49"/>
    </w:p>
    <w:p>
      <w:pPr>
        <w:spacing w:line="56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21年，机关运行经费支出9.85万元，比</w:t>
      </w:r>
      <w:r>
        <w:rPr>
          <w:rFonts w:ascii="仿宋_GB2312" w:eastAsia="仿宋_GB2312"/>
          <w:color w:val="000000"/>
          <w:sz w:val="32"/>
          <w:szCs w:val="32"/>
        </w:rPr>
        <w:t>20</w:t>
      </w:r>
      <w:r>
        <w:rPr>
          <w:rFonts w:hint="eastAsia" w:ascii="仿宋_GB2312" w:eastAsia="仿宋_GB2312"/>
          <w:color w:val="000000"/>
          <w:sz w:val="32"/>
          <w:szCs w:val="32"/>
        </w:rPr>
        <w:t>20年7.97万元增加1.88万元，增加19.09</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21年，政府采购支出总额1.83万元。</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日，有车辆</w:t>
      </w:r>
      <w:r>
        <w:rPr>
          <w:rFonts w:ascii="仿宋_GB2312" w:eastAsia="仿宋_GB2312"/>
          <w:color w:val="000000"/>
          <w:sz w:val="32"/>
          <w:szCs w:val="32"/>
        </w:rPr>
        <w:t>0</w:t>
      </w:r>
      <w:r>
        <w:rPr>
          <w:rFonts w:hint="eastAsia" w:ascii="仿宋_GB2312" w:eastAsia="仿宋_GB2312"/>
          <w:color w:val="000000"/>
          <w:sz w:val="32"/>
          <w:szCs w:val="32"/>
        </w:rPr>
        <w:t>辆。</w:t>
      </w:r>
      <w:bookmarkStart w:id="53" w:name="_Toc15377225"/>
      <w:bookmarkStart w:id="54" w:name="_Toc15396613"/>
    </w:p>
    <w:p>
      <w:pPr>
        <w:autoSpaceDE w:val="0"/>
        <w:autoSpaceDN w:val="0"/>
        <w:adjustRightInd w:val="0"/>
        <w:spacing w:line="576" w:lineRule="exact"/>
        <w:jc w:val="center"/>
        <w:rPr>
          <w:rStyle w:val="18"/>
          <w:rFonts w:ascii="黑体" w:hAnsi="黑体" w:eastAsia="黑体"/>
          <w:b w:val="0"/>
        </w:rPr>
      </w:pPr>
      <w:r>
        <w:rPr>
          <w:rFonts w:hint="eastAsia" w:ascii="黑体" w:hAnsi="黑体" w:eastAsia="黑体"/>
          <w:b/>
          <w:color w:val="000000"/>
          <w:sz w:val="44"/>
          <w:szCs w:val="44"/>
        </w:rPr>
        <w:t>第三部分</w:t>
      </w:r>
      <w:r>
        <w:rPr>
          <w:rFonts w:ascii="黑体" w:hAnsi="黑体" w:eastAsia="黑体"/>
          <w:b/>
          <w:color w:val="000000"/>
          <w:sz w:val="44"/>
          <w:szCs w:val="44"/>
        </w:rPr>
        <w:t xml:space="preserve"> </w:t>
      </w:r>
      <w:r>
        <w:rPr>
          <w:rFonts w:hint="eastAsia" w:ascii="黑体" w:hAnsi="黑体" w:eastAsia="黑体"/>
          <w:b/>
          <w:color w:val="000000"/>
          <w:sz w:val="44"/>
          <w:szCs w:val="44"/>
        </w:rPr>
        <w:t>名</w:t>
      </w:r>
      <w:r>
        <w:rPr>
          <w:rStyle w:val="18"/>
          <w:rFonts w:hint="eastAsia" w:ascii="黑体" w:hAnsi="黑体" w:eastAsia="黑体"/>
          <w:b w:val="0"/>
        </w:rPr>
        <w:t>词解释</w:t>
      </w:r>
      <w:bookmarkEnd w:id="53"/>
      <w:bookmarkEnd w:id="54"/>
    </w:p>
    <w:p>
      <w:pPr>
        <w:widowControl/>
        <w:spacing w:line="600" w:lineRule="atLeast"/>
        <w:jc w:val="left"/>
        <w:rPr>
          <w:rFonts w:eastAsia="微软雅黑"/>
          <w:color w:val="333333"/>
          <w:kern w:val="0"/>
          <w:szCs w:val="21"/>
        </w:rPr>
      </w:pPr>
      <w:bookmarkStart w:id="55" w:name="_Toc15377226"/>
      <w:r>
        <w:rPr>
          <w:rFonts w:eastAsia="微软雅黑"/>
          <w:color w:val="333333"/>
          <w:kern w:val="0"/>
          <w:szCs w:val="21"/>
        </w:rPr>
        <w:t> </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1.</w:t>
      </w:r>
      <w:r>
        <w:rPr>
          <w:rFonts w:hint="eastAsia" w:ascii="仿宋_GB2312" w:hAnsi="仿宋" w:eastAsia="仿宋_GB2312" w:cs="Arial"/>
          <w:color w:val="000000"/>
          <w:kern w:val="0"/>
          <w:sz w:val="32"/>
          <w:szCs w:val="32"/>
        </w:rPr>
        <w:t>财政拨款收入：指单位从同级财政部门取得的财政预算资金。</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2.</w:t>
      </w:r>
      <w:r>
        <w:rPr>
          <w:rFonts w:hint="eastAsia" w:ascii="仿宋_GB2312" w:hAnsi="仿宋" w:eastAsia="仿宋_GB2312" w:cs="Arial"/>
          <w:color w:val="000000"/>
          <w:kern w:val="0"/>
          <w:sz w:val="32"/>
          <w:szCs w:val="32"/>
        </w:rPr>
        <w:t>事业收入：指事业单位开展专业业务活动及辅助活动取得的收入。</w:t>
      </w:r>
    </w:p>
    <w:p>
      <w:pPr>
        <w:widowControl/>
        <w:spacing w:line="560" w:lineRule="atLeast"/>
        <w:ind w:firstLine="640"/>
        <w:jc w:val="left"/>
        <w:rPr>
          <w:rFonts w:ascii="仿宋_GB2312" w:hAnsi="仿宋" w:eastAsia="仿宋_GB2312" w:cs="Arial"/>
          <w:color w:val="000000"/>
          <w:kern w:val="0"/>
          <w:sz w:val="32"/>
          <w:szCs w:val="32"/>
        </w:rPr>
      </w:pPr>
      <w:r>
        <w:rPr>
          <w:rFonts w:ascii="仿宋" w:hAnsi="仿宋" w:eastAsia="仿宋" w:cs="Arial"/>
          <w:color w:val="000000"/>
          <w:kern w:val="0"/>
          <w:sz w:val="32"/>
          <w:szCs w:val="32"/>
        </w:rPr>
        <w:t>3.</w:t>
      </w:r>
      <w:r>
        <w:rPr>
          <w:rFonts w:hint="eastAsia" w:ascii="仿宋_GB2312" w:hAnsi="仿宋" w:eastAsia="仿宋_GB2312" w:cs="Arial"/>
          <w:color w:val="000000"/>
          <w:kern w:val="0"/>
          <w:sz w:val="32"/>
          <w:szCs w:val="32"/>
        </w:rPr>
        <w:t>经营收入：指事业单位在专业业务活动及其辅助活动之外开展非独立核算经营活动取得的收入。</w:t>
      </w:r>
    </w:p>
    <w:p>
      <w:pPr>
        <w:widowControl/>
        <w:spacing w:line="560" w:lineRule="atLeast"/>
        <w:ind w:firstLine="640"/>
        <w:jc w:val="left"/>
        <w:rPr>
          <w:rFonts w:ascii="仿宋_GB2312" w:hAnsi="仿宋" w:eastAsia="仿宋_GB2312" w:cs="Arial"/>
          <w:color w:val="000000"/>
          <w:kern w:val="0"/>
          <w:sz w:val="32"/>
          <w:szCs w:val="32"/>
        </w:rPr>
      </w:pPr>
      <w:r>
        <w:rPr>
          <w:rFonts w:ascii="仿宋" w:hAnsi="仿宋" w:eastAsia="仿宋" w:cs="Arial"/>
          <w:color w:val="000000"/>
          <w:kern w:val="0"/>
          <w:sz w:val="32"/>
          <w:szCs w:val="32"/>
        </w:rPr>
        <w:t>4.</w:t>
      </w:r>
      <w:r>
        <w:rPr>
          <w:rFonts w:hint="eastAsia" w:ascii="仿宋_GB2312" w:hAnsi="仿宋" w:eastAsia="仿宋_GB2312" w:cs="Arial"/>
          <w:color w:val="000000"/>
          <w:kern w:val="0"/>
          <w:sz w:val="32"/>
          <w:szCs w:val="32"/>
        </w:rPr>
        <w:t>其他收入：指单位取得的除上述收入以外的各项收入。</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5.</w:t>
      </w:r>
      <w:r>
        <w:rPr>
          <w:rFonts w:hint="eastAsia" w:ascii="仿宋_GB2312" w:hAnsi="仿宋" w:eastAsia="仿宋_GB2312" w:cs="Arial"/>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6.</w:t>
      </w:r>
      <w:r>
        <w:rPr>
          <w:rFonts w:hint="eastAsia" w:ascii="仿宋_GB2312" w:hAnsi="仿宋" w:eastAsia="仿宋_GB2312" w:cs="Arial"/>
          <w:color w:val="000000"/>
          <w:kern w:val="0"/>
          <w:sz w:val="32"/>
          <w:szCs w:val="32"/>
        </w:rPr>
        <w:t>年初结转和结余：指以前年度尚未完成、结转到本年按有关规定继续使用的资金。</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7.</w:t>
      </w:r>
      <w:r>
        <w:rPr>
          <w:rFonts w:hint="eastAsia" w:ascii="仿宋_GB2312" w:hAnsi="仿宋" w:eastAsia="仿宋_GB2312" w:cs="Arial"/>
          <w:color w:val="000000"/>
          <w:kern w:val="0"/>
          <w:sz w:val="32"/>
          <w:szCs w:val="32"/>
        </w:rPr>
        <w:t>结余分配：指事业单位按照事业单位会计制度的规定从非财政补助结余中分配的事业基金和职工福利基金等。</w:t>
      </w:r>
    </w:p>
    <w:p>
      <w:pPr>
        <w:widowControl/>
        <w:spacing w:line="560" w:lineRule="atLeast"/>
        <w:ind w:firstLine="640"/>
        <w:jc w:val="left"/>
        <w:rPr>
          <w:rFonts w:hint="eastAsia" w:ascii="仿宋_GB2312" w:hAnsi="仿宋" w:eastAsia="仿宋_GB2312" w:cs="Arial"/>
          <w:color w:val="000000"/>
          <w:kern w:val="0"/>
          <w:sz w:val="32"/>
          <w:szCs w:val="32"/>
        </w:rPr>
      </w:pPr>
      <w:r>
        <w:rPr>
          <w:rFonts w:ascii="仿宋" w:hAnsi="仿宋" w:eastAsia="仿宋" w:cs="Arial"/>
          <w:color w:val="000000"/>
          <w:kern w:val="0"/>
          <w:sz w:val="32"/>
          <w:szCs w:val="32"/>
        </w:rPr>
        <w:t>8.</w:t>
      </w:r>
      <w:r>
        <w:rPr>
          <w:rFonts w:hint="eastAsia" w:ascii="仿宋_GB2312" w:hAnsi="仿宋" w:eastAsia="仿宋_GB2312" w:cs="Arial"/>
          <w:color w:val="000000"/>
          <w:kern w:val="0"/>
          <w:sz w:val="32"/>
          <w:szCs w:val="32"/>
        </w:rPr>
        <w:t>年末结转和结余：指单位按有关规定结转到下年或以后年度继续使用的资金。</w:t>
      </w:r>
    </w:p>
    <w:p>
      <w:pPr>
        <w:widowControl/>
        <w:spacing w:line="560" w:lineRule="atLeast"/>
        <w:ind w:firstLine="640"/>
        <w:jc w:val="left"/>
        <w:rPr>
          <w:rFonts w:eastAsia="微软雅黑"/>
          <w:color w:val="333333"/>
          <w:kern w:val="0"/>
          <w:szCs w:val="21"/>
        </w:rPr>
      </w:pPr>
      <w:r>
        <w:rPr>
          <w:rFonts w:ascii="仿宋" w:hAnsi="仿宋" w:eastAsia="仿宋"/>
          <w:color w:val="333333"/>
          <w:kern w:val="0"/>
          <w:sz w:val="32"/>
          <w:szCs w:val="32"/>
        </w:rPr>
        <w:t>9.</w:t>
      </w:r>
      <w:r>
        <w:rPr>
          <w:rFonts w:hint="eastAsia" w:ascii="仿宋_GB2312" w:hAnsi="仿宋" w:eastAsia="仿宋_GB2312"/>
          <w:b/>
          <w:bCs/>
          <w:color w:val="333333"/>
          <w:kern w:val="0"/>
          <w:sz w:val="32"/>
          <w:szCs w:val="32"/>
        </w:rPr>
        <w:t>社会保障和就业支出（类）行政事业单位离退休（款）归口管理的行政单位离退休（项）：</w:t>
      </w:r>
      <w:r>
        <w:rPr>
          <w:rFonts w:hint="eastAsia" w:ascii="仿宋_GB2312" w:hAnsi="仿宋" w:eastAsia="仿宋_GB2312"/>
          <w:color w:val="333333"/>
          <w:kern w:val="0"/>
          <w:sz w:val="32"/>
          <w:szCs w:val="32"/>
        </w:rPr>
        <w:t>指实行归口管理的行政单位（包括实行公务员管理的事业单位）开支的离退休经费</w:t>
      </w:r>
      <w:r>
        <w:rPr>
          <w:rFonts w:hint="eastAsia" w:ascii="仿宋_GB2312" w:hAnsi="仿宋" w:eastAsia="仿宋_GB2312"/>
          <w:color w:val="000000"/>
          <w:kern w:val="0"/>
          <w:sz w:val="32"/>
          <w:szCs w:val="32"/>
        </w:rPr>
        <w:t>。</w:t>
      </w:r>
    </w:p>
    <w:p>
      <w:pPr>
        <w:widowControl/>
        <w:ind w:firstLine="643"/>
        <w:rPr>
          <w:rFonts w:eastAsia="微软雅黑"/>
          <w:color w:val="333333"/>
          <w:kern w:val="0"/>
          <w:szCs w:val="21"/>
        </w:rPr>
      </w:pPr>
      <w:r>
        <w:rPr>
          <w:rFonts w:hint="eastAsia" w:ascii="仿宋_GB2312" w:hAnsi="仿宋" w:eastAsia="仿宋_GB2312"/>
          <w:b/>
          <w:bCs/>
          <w:color w:val="333333"/>
          <w:kern w:val="0"/>
          <w:sz w:val="32"/>
          <w:szCs w:val="32"/>
        </w:rPr>
        <w:t>社会保障和就业支出（类）行政事业单位离退休（款）机关事业单位基本养老保险缴费支出（项）：</w:t>
      </w:r>
      <w:r>
        <w:rPr>
          <w:rFonts w:hint="eastAsia" w:ascii="仿宋_GB2312" w:hAnsi="仿宋" w:eastAsia="仿宋_GB2312"/>
          <w:color w:val="333333"/>
          <w:kern w:val="0"/>
          <w:sz w:val="32"/>
          <w:szCs w:val="32"/>
        </w:rPr>
        <w:t>指机关事业单位实施养老保险制度由单位缴纳的基本养老保险费支出。</w:t>
      </w:r>
    </w:p>
    <w:p>
      <w:pPr>
        <w:widowControl/>
        <w:ind w:firstLine="643"/>
        <w:rPr>
          <w:rFonts w:eastAsia="微软雅黑"/>
          <w:color w:val="333333"/>
          <w:kern w:val="0"/>
          <w:szCs w:val="21"/>
        </w:rPr>
      </w:pPr>
      <w:r>
        <w:rPr>
          <w:rFonts w:hint="eastAsia" w:ascii="仿宋_GB2312" w:hAnsi="仿宋" w:eastAsia="仿宋_GB2312"/>
          <w:b/>
          <w:bCs/>
          <w:color w:val="333333"/>
          <w:kern w:val="0"/>
          <w:sz w:val="32"/>
          <w:szCs w:val="32"/>
        </w:rPr>
        <w:t>社会保障和就业支出（类）财政对其他社会保险基金的补助（款）财政对失业保险基金的补助（项）：</w:t>
      </w:r>
      <w:r>
        <w:rPr>
          <w:rFonts w:hint="eastAsia" w:ascii="仿宋_GB2312" w:hAnsi="仿宋" w:eastAsia="仿宋_GB2312"/>
          <w:color w:val="333333"/>
          <w:kern w:val="0"/>
          <w:sz w:val="32"/>
          <w:szCs w:val="32"/>
        </w:rPr>
        <w:t>指财政对失业保险基金的补助支出。</w:t>
      </w:r>
    </w:p>
    <w:p>
      <w:pPr>
        <w:widowControl/>
        <w:ind w:firstLine="643"/>
        <w:rPr>
          <w:rFonts w:eastAsia="微软雅黑"/>
          <w:color w:val="333333"/>
          <w:kern w:val="0"/>
          <w:szCs w:val="21"/>
        </w:rPr>
      </w:pPr>
      <w:r>
        <w:rPr>
          <w:rFonts w:hint="eastAsia" w:ascii="仿宋_GB2312" w:hAnsi="仿宋" w:eastAsia="仿宋_GB2312"/>
          <w:b/>
          <w:bCs/>
          <w:color w:val="333333"/>
          <w:kern w:val="0"/>
          <w:sz w:val="32"/>
          <w:szCs w:val="32"/>
        </w:rPr>
        <w:t>社会保障和就业支出（类）财政对其他社会保险基金的补助（款）财政对工伤保险基金的补助（项）：</w:t>
      </w:r>
      <w:r>
        <w:rPr>
          <w:rFonts w:hint="eastAsia" w:ascii="仿宋_GB2312" w:hAnsi="仿宋" w:eastAsia="仿宋_GB2312"/>
          <w:color w:val="333333"/>
          <w:kern w:val="0"/>
          <w:sz w:val="32"/>
          <w:szCs w:val="32"/>
        </w:rPr>
        <w:t>指财政对工伤保险基金的补助支出。</w:t>
      </w:r>
    </w:p>
    <w:p>
      <w:pPr>
        <w:widowControl/>
        <w:ind w:firstLine="643"/>
        <w:rPr>
          <w:rFonts w:eastAsia="微软雅黑"/>
          <w:color w:val="333333"/>
          <w:kern w:val="0"/>
          <w:szCs w:val="21"/>
        </w:rPr>
      </w:pPr>
      <w:r>
        <w:rPr>
          <w:rFonts w:hint="eastAsia" w:ascii="仿宋_GB2312" w:hAnsi="仿宋" w:eastAsia="仿宋_GB2312"/>
          <w:b/>
          <w:bCs/>
          <w:color w:val="333333"/>
          <w:kern w:val="0"/>
          <w:sz w:val="32"/>
          <w:szCs w:val="32"/>
        </w:rPr>
        <w:t>社会保障和就业支出（类）财政对其他社会保险基金的补助（款）财政对生育保险基金的补助（项）：</w:t>
      </w:r>
      <w:r>
        <w:rPr>
          <w:rFonts w:hint="eastAsia" w:ascii="仿宋_GB2312" w:hAnsi="仿宋" w:eastAsia="仿宋_GB2312"/>
          <w:color w:val="333333"/>
          <w:kern w:val="0"/>
          <w:sz w:val="32"/>
          <w:szCs w:val="32"/>
        </w:rPr>
        <w:t>指财政对生育保险基金的补助支出。</w:t>
      </w:r>
    </w:p>
    <w:p>
      <w:pPr>
        <w:widowControl/>
        <w:ind w:firstLine="643"/>
        <w:rPr>
          <w:rFonts w:eastAsia="微软雅黑"/>
          <w:color w:val="333333"/>
          <w:kern w:val="0"/>
          <w:szCs w:val="21"/>
        </w:rPr>
      </w:pPr>
      <w:r>
        <w:rPr>
          <w:rFonts w:ascii="仿宋" w:hAnsi="仿宋" w:eastAsia="仿宋"/>
          <w:b/>
          <w:bCs/>
          <w:color w:val="000000"/>
          <w:kern w:val="0"/>
          <w:sz w:val="32"/>
          <w:szCs w:val="32"/>
        </w:rPr>
        <w:t>10.</w:t>
      </w:r>
      <w:r>
        <w:rPr>
          <w:rFonts w:hint="eastAsia" w:ascii="仿宋" w:hAnsi="仿宋" w:eastAsia="仿宋"/>
          <w:b/>
          <w:bCs/>
          <w:color w:val="000000"/>
          <w:kern w:val="0"/>
          <w:sz w:val="32"/>
          <w:szCs w:val="32"/>
        </w:rPr>
        <w:t>卫生健康支出（类）行政事业单位医疗（款）行政单位医疗（项）：</w:t>
      </w:r>
      <w:r>
        <w:rPr>
          <w:rFonts w:hint="eastAsia" w:ascii="仿宋_GB2312" w:hAnsi="仿宋" w:eastAsia="仿宋_GB2312"/>
          <w:color w:val="000000"/>
          <w:kern w:val="0"/>
          <w:sz w:val="32"/>
          <w:szCs w:val="32"/>
        </w:rPr>
        <w:t>指财政部门安排的行政单位（</w:t>
      </w:r>
      <w:r>
        <w:rPr>
          <w:rFonts w:hint="eastAsia" w:ascii="仿宋_GB2312" w:hAnsi="仿宋" w:eastAsia="仿宋_GB2312"/>
          <w:color w:val="333333"/>
          <w:kern w:val="0"/>
          <w:sz w:val="32"/>
          <w:szCs w:val="32"/>
        </w:rPr>
        <w:t>包括实行公务员管理的事业单位，下同</w:t>
      </w:r>
      <w:r>
        <w:rPr>
          <w:rFonts w:hint="eastAsia" w:ascii="仿宋_GB2312" w:hAnsi="仿宋" w:eastAsia="仿宋_GB2312"/>
          <w:color w:val="000000"/>
          <w:kern w:val="0"/>
          <w:sz w:val="32"/>
          <w:szCs w:val="32"/>
        </w:rPr>
        <w:t>）基本医疗保险缴费经费，未参加医疗保险的行政单位的公费医疗经费，按照国家规定享受离休人员、红军老战士待遇人员的医疗经费。</w:t>
      </w:r>
    </w:p>
    <w:p>
      <w:pPr>
        <w:widowControl/>
        <w:ind w:firstLine="643"/>
        <w:rPr>
          <w:rFonts w:eastAsia="微软雅黑"/>
          <w:color w:val="333333"/>
          <w:kern w:val="0"/>
          <w:szCs w:val="21"/>
        </w:rPr>
      </w:pPr>
      <w:r>
        <w:rPr>
          <w:rFonts w:hint="eastAsia" w:ascii="仿宋_GB2312" w:hAnsi="仿宋" w:eastAsia="仿宋_GB2312"/>
          <w:b/>
          <w:bCs/>
          <w:color w:val="000000"/>
          <w:kern w:val="0"/>
          <w:sz w:val="32"/>
          <w:szCs w:val="32"/>
        </w:rPr>
        <w:t>卫生健康支出（类）行政事业单位医疗（款）公务员医疗补助（项）：</w:t>
      </w:r>
      <w:r>
        <w:rPr>
          <w:rFonts w:hint="eastAsia" w:ascii="仿宋_GB2312" w:hAnsi="仿宋" w:eastAsia="仿宋_GB2312"/>
          <w:color w:val="000000"/>
          <w:kern w:val="0"/>
          <w:sz w:val="32"/>
          <w:szCs w:val="32"/>
        </w:rPr>
        <w:t>指财政部门安排的公务员医疗补助经费。</w:t>
      </w:r>
    </w:p>
    <w:p>
      <w:pPr>
        <w:widowControl/>
        <w:ind w:firstLine="643"/>
        <w:rPr>
          <w:rFonts w:eastAsia="微软雅黑"/>
          <w:color w:val="333333"/>
          <w:kern w:val="0"/>
          <w:szCs w:val="21"/>
        </w:rPr>
      </w:pPr>
      <w:r>
        <w:rPr>
          <w:rFonts w:hint="eastAsia" w:ascii="仿宋_GB2312" w:hAnsi="仿宋" w:eastAsia="仿宋_GB2312"/>
          <w:b/>
          <w:bCs/>
          <w:color w:val="000000"/>
          <w:kern w:val="0"/>
          <w:sz w:val="32"/>
          <w:szCs w:val="32"/>
        </w:rPr>
        <w:t>卫生健康支出（类）行政事业单位医疗（款）其他行政事业单位医疗支出（项）：</w:t>
      </w:r>
      <w:r>
        <w:rPr>
          <w:rFonts w:hint="eastAsia" w:ascii="仿宋_GB2312" w:hAnsi="仿宋" w:eastAsia="仿宋_GB2312"/>
          <w:color w:val="000000"/>
          <w:kern w:val="0"/>
          <w:sz w:val="32"/>
          <w:szCs w:val="32"/>
        </w:rPr>
        <w:t>指除上述项目以外的其他用于行政事业单位医疗方面的支出。</w:t>
      </w:r>
    </w:p>
    <w:p>
      <w:pPr>
        <w:widowControl/>
        <w:ind w:firstLine="640"/>
        <w:rPr>
          <w:rFonts w:eastAsia="微软雅黑"/>
          <w:color w:val="333333"/>
          <w:kern w:val="0"/>
          <w:szCs w:val="21"/>
        </w:rPr>
      </w:pPr>
      <w:r>
        <w:rPr>
          <w:rFonts w:ascii="仿宋" w:hAnsi="仿宋" w:eastAsia="仿宋"/>
          <w:color w:val="000000"/>
          <w:kern w:val="0"/>
          <w:sz w:val="32"/>
          <w:szCs w:val="32"/>
        </w:rPr>
        <w:t>11.</w:t>
      </w:r>
      <w:r>
        <w:rPr>
          <w:rFonts w:hint="eastAsia" w:ascii="仿宋_GB2312" w:hAnsi="仿宋" w:eastAsia="仿宋_GB2312"/>
          <w:b/>
          <w:bCs/>
          <w:color w:val="000000"/>
          <w:kern w:val="0"/>
          <w:sz w:val="32"/>
          <w:szCs w:val="32"/>
        </w:rPr>
        <w:t>住房保障支出（类）住房改革支出（款）住房公积金（项）：</w:t>
      </w:r>
      <w:r>
        <w:rPr>
          <w:rFonts w:hint="eastAsia" w:ascii="仿宋_GB2312" w:hAnsi="仿宋" w:eastAsia="仿宋_GB2312"/>
          <w:color w:val="000000"/>
          <w:kern w:val="0"/>
          <w:sz w:val="32"/>
          <w:szCs w:val="32"/>
        </w:rPr>
        <w:t>指行政事业单位按人力资源和社会保障部、财政部规定的基本工资和津贴补贴以及规定比例为职工缴纳的住房公积金。</w:t>
      </w:r>
    </w:p>
    <w:p>
      <w:pPr>
        <w:widowControl/>
        <w:ind w:firstLine="640"/>
        <w:rPr>
          <w:rFonts w:eastAsia="微软雅黑"/>
          <w:color w:val="333333"/>
          <w:kern w:val="0"/>
          <w:szCs w:val="21"/>
        </w:rPr>
      </w:pPr>
      <w:r>
        <w:rPr>
          <w:rFonts w:ascii="仿宋" w:hAnsi="仿宋" w:eastAsia="仿宋"/>
          <w:color w:val="000000"/>
          <w:kern w:val="0"/>
          <w:sz w:val="32"/>
          <w:szCs w:val="32"/>
        </w:rPr>
        <w:t>12.</w:t>
      </w:r>
      <w:r>
        <w:rPr>
          <w:rFonts w:hint="eastAsia" w:ascii="仿宋_GB2312" w:hAnsi="仿宋" w:eastAsia="仿宋_GB2312"/>
          <w:color w:val="000000"/>
          <w:kern w:val="0"/>
          <w:sz w:val="32"/>
          <w:szCs w:val="32"/>
        </w:rPr>
        <w:t>基本支出：指为保障机构正常运转、完成日常工作任务而发生的人员支出和公用支出。</w:t>
      </w:r>
    </w:p>
    <w:p>
      <w:pPr>
        <w:widowControl/>
        <w:ind w:firstLine="640"/>
        <w:rPr>
          <w:rFonts w:eastAsia="微软雅黑"/>
          <w:color w:val="333333"/>
          <w:kern w:val="0"/>
          <w:szCs w:val="21"/>
        </w:rPr>
      </w:pPr>
      <w:r>
        <w:rPr>
          <w:rFonts w:ascii="仿宋" w:hAnsi="仿宋" w:eastAsia="仿宋"/>
          <w:color w:val="000000"/>
          <w:kern w:val="0"/>
          <w:sz w:val="32"/>
          <w:szCs w:val="32"/>
        </w:rPr>
        <w:t>13.</w:t>
      </w:r>
      <w:r>
        <w:rPr>
          <w:rFonts w:hint="eastAsia" w:ascii="仿宋_GB2312" w:hAnsi="仿宋" w:eastAsia="仿宋_GB2312"/>
          <w:color w:val="000000"/>
          <w:kern w:val="0"/>
          <w:sz w:val="32"/>
          <w:szCs w:val="32"/>
        </w:rPr>
        <w:t>项目支出：指在基本支出之外为完成特定行政任务和事业发展目标所发生的支出。</w:t>
      </w:r>
    </w:p>
    <w:p>
      <w:pPr>
        <w:widowControl/>
        <w:ind w:firstLine="640"/>
        <w:rPr>
          <w:rFonts w:eastAsia="微软雅黑"/>
          <w:color w:val="333333"/>
          <w:kern w:val="0"/>
          <w:szCs w:val="21"/>
        </w:rPr>
      </w:pPr>
      <w:r>
        <w:rPr>
          <w:rFonts w:ascii="仿宋" w:hAnsi="仿宋" w:eastAsia="仿宋"/>
          <w:color w:val="000000"/>
          <w:kern w:val="0"/>
          <w:sz w:val="32"/>
          <w:szCs w:val="32"/>
        </w:rPr>
        <w:t>14.</w:t>
      </w:r>
      <w:r>
        <w:rPr>
          <w:rFonts w:hint="eastAsia" w:ascii="仿宋_GB2312" w:hAnsi="仿宋" w:eastAsia="仿宋_GB2312"/>
          <w:color w:val="000000"/>
          <w:kern w:val="0"/>
          <w:sz w:val="32"/>
          <w:szCs w:val="32"/>
        </w:rPr>
        <w:t>经营支出：指事业单位在专业业务活动及其辅助活动之外开展非独立核算经营活动发生的支出。</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15.</w:t>
      </w:r>
      <w:r>
        <w:rPr>
          <w:rFonts w:hint="eastAsia" w:ascii="仿宋" w:hAnsi="仿宋" w:eastAsia="仿宋" w:cs="Arial"/>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atLeast"/>
        <w:ind w:firstLine="640"/>
        <w:jc w:val="left"/>
        <w:rPr>
          <w:rFonts w:ascii="仿宋" w:hAnsi="仿宋" w:eastAsia="仿宋" w:cs="Arial"/>
          <w:color w:val="000000"/>
          <w:kern w:val="0"/>
          <w:sz w:val="24"/>
        </w:rPr>
      </w:pPr>
      <w:r>
        <w:rPr>
          <w:rFonts w:ascii="仿宋" w:hAnsi="仿宋" w:eastAsia="仿宋" w:cs="Arial"/>
          <w:color w:val="000000"/>
          <w:kern w:val="0"/>
          <w:sz w:val="32"/>
          <w:szCs w:val="32"/>
        </w:rPr>
        <w:t>16.</w:t>
      </w:r>
      <w:r>
        <w:rPr>
          <w:rFonts w:hint="eastAsia" w:ascii="仿宋_GB2312" w:hAnsi="仿宋" w:eastAsia="仿宋_GB2312" w:cs="Arial"/>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rPr>
          <w:rFonts w:eastAsia="微软雅黑"/>
          <w:color w:val="333333"/>
          <w:kern w:val="0"/>
          <w:szCs w:val="21"/>
        </w:rPr>
      </w:pPr>
      <w:r>
        <w:rPr>
          <w:rFonts w:eastAsia="微软雅黑"/>
          <w:color w:val="333333"/>
          <w:kern w:val="0"/>
          <w:szCs w:val="21"/>
        </w:rPr>
        <w:t> </w:t>
      </w:r>
    </w:p>
    <w:p>
      <w:pPr>
        <w:spacing w:line="576" w:lineRule="exact"/>
        <w:jc w:val="center"/>
        <w:outlineLvl w:val="0"/>
        <w:rPr>
          <w:rFonts w:ascii="黑体" w:hAnsi="黑体" w:eastAsia="黑体"/>
          <w:color w:val="000000"/>
          <w:sz w:val="44"/>
          <w:szCs w:val="44"/>
        </w:rPr>
      </w:pPr>
      <w:bookmarkStart w:id="56" w:name="_Toc15396614"/>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Fonts w:ascii="黑体" w:hAnsi="黑体" w:eastAsia="黑体"/>
          <w:color w:val="000000"/>
          <w:sz w:val="44"/>
          <w:szCs w:val="44"/>
        </w:rPr>
      </w:pPr>
    </w:p>
    <w:p>
      <w:pPr>
        <w:spacing w:line="576" w:lineRule="exact"/>
        <w:jc w:val="center"/>
        <w:outlineLvl w:val="0"/>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6"/>
    </w:p>
    <w:p>
      <w:pPr>
        <w:pStyle w:val="3"/>
        <w:spacing w:before="0" w:after="0" w:line="576" w:lineRule="exact"/>
        <w:rPr>
          <w:rStyle w:val="18"/>
          <w:rFonts w:ascii="仿宋" w:hAnsi="仿宋" w:eastAsia="仿宋"/>
          <w:b/>
          <w:bCs w:val="0"/>
          <w:sz w:val="32"/>
          <w:szCs w:val="32"/>
        </w:rPr>
      </w:pPr>
      <w:bookmarkStart w:id="57" w:name="_Toc15396615"/>
      <w:r>
        <w:rPr>
          <w:rStyle w:val="18"/>
          <w:rFonts w:hint="eastAsia" w:ascii="仿宋" w:hAnsi="仿宋" w:eastAsia="仿宋"/>
          <w:b/>
          <w:bCs w:val="0"/>
          <w:sz w:val="32"/>
          <w:szCs w:val="32"/>
        </w:rPr>
        <w:t>附件</w:t>
      </w:r>
      <w:r>
        <w:rPr>
          <w:rStyle w:val="18"/>
          <w:rFonts w:ascii="仿宋" w:hAnsi="仿宋" w:eastAsia="仿宋"/>
          <w:b/>
          <w:bCs w:val="0"/>
          <w:sz w:val="32"/>
          <w:szCs w:val="32"/>
        </w:rPr>
        <w:t>1</w:t>
      </w:r>
      <w:bookmarkEnd w:id="57"/>
    </w:p>
    <w:p>
      <w:pPr>
        <w:spacing w:line="576"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南江县工商联</w:t>
      </w:r>
      <w:r>
        <w:rPr>
          <w:rFonts w:ascii="黑体" w:hAnsi="黑体" w:eastAsia="黑体" w:cs="方正小标宋简体"/>
          <w:sz w:val="36"/>
          <w:szCs w:val="36"/>
        </w:rPr>
        <w:t>20</w:t>
      </w:r>
      <w:r>
        <w:rPr>
          <w:rFonts w:hint="eastAsia" w:ascii="黑体" w:hAnsi="黑体" w:eastAsia="黑体" w:cs="方正小标宋简体"/>
          <w:sz w:val="36"/>
          <w:szCs w:val="36"/>
        </w:rPr>
        <w:t>21年部门整体支出绩效评价报告</w:t>
      </w:r>
      <w:bookmarkEnd w:id="58"/>
    </w:p>
    <w:p>
      <w:pPr>
        <w:spacing w:line="576" w:lineRule="exact"/>
        <w:ind w:firstLine="640" w:firstLineChars="200"/>
        <w:rPr>
          <w:rFonts w:ascii="黑体" w:hAnsi="黑体" w:eastAsia="黑体" w:cs="黑体"/>
          <w:sz w:val="32"/>
          <w:szCs w:val="32"/>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w:t>
      </w:r>
      <w:bookmarkStart w:id="59" w:name="_Toc15396617"/>
      <w:r>
        <w:rPr>
          <w:rFonts w:hint="eastAsia" w:ascii="黑体" w:hAnsi="黑体" w:eastAsia="黑体" w:cs="黑体"/>
          <w:b/>
          <w:sz w:val="32"/>
          <w:szCs w:val="32"/>
        </w:rPr>
        <w:t>部门（单位）概况</w:t>
      </w:r>
    </w:p>
    <w:p>
      <w:pPr>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（一）机构组成</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南江县工商联，是中国共产党领导的、工商业界组织的人民团体和民间商会，是党和政府联系非公经济人士的桥梁和纽带，是政府管理非公经济的助手，规格为正科级，无内设机构。</w:t>
      </w:r>
    </w:p>
    <w:p>
      <w:pPr>
        <w:widowControl/>
        <w:ind w:firstLine="560"/>
        <w:jc w:val="left"/>
        <w:rPr>
          <w:rFonts w:ascii="楷体_GB2312" w:hAnsi="仿宋" w:eastAsia="楷体_GB2312" w:cs="仿宋_GB2312"/>
          <w:b/>
          <w:sz w:val="32"/>
          <w:szCs w:val="32"/>
        </w:rPr>
      </w:pPr>
      <w:r>
        <w:rPr>
          <w:rFonts w:hint="eastAsia" w:ascii="楷体_GB2312" w:hAnsi="仿宋" w:eastAsia="楷体_GB2312" w:cs="仿宋_GB2312"/>
          <w:b/>
          <w:sz w:val="32"/>
          <w:szCs w:val="32"/>
        </w:rPr>
        <w:t>（二）机构职能</w:t>
      </w:r>
    </w:p>
    <w:p>
      <w:pPr>
        <w:ind w:firstLine="800" w:firstLineChars="250"/>
        <w:jc w:val="left"/>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、参政议政，参与国家事务和经济、社会重大决策的政治协商，发挥民主监督作用，做好非公经济代表人士政治安排的推荐工作。</w:t>
      </w:r>
    </w:p>
    <w:p>
      <w:pPr>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、加强和改进非公经济代表人士思想政治工作，团结、教育、引导非公经济人士爱国、敬业、守法。</w:t>
      </w:r>
    </w:p>
    <w:p>
      <w:pPr>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、维护会员合法权益，在会员与政府之间发挥桥梁纽带作用，当好政府管理非公经济的助手。</w:t>
      </w:r>
    </w:p>
    <w:p>
      <w:pPr>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、为会员提供培训、融资、科技、法律、信息咨询等服务，提供对内对外交流服务。</w:t>
      </w:r>
    </w:p>
    <w:p>
      <w:pPr>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、增强与异地商会及国内外工商社团的交往，为国家扩大对外开放、企业走向国际市场服务。</w:t>
      </w:r>
    </w:p>
    <w:p>
      <w:pPr>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、加强行业商会、乡镇商会、异地商会等商会网络建设，增强组织凝聚力。</w:t>
      </w:r>
    </w:p>
    <w:p>
      <w:pPr>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、承办县委</w:t>
      </w:r>
      <w:r>
        <w:rPr>
          <w:rFonts w:hint="eastAsia" w:ascii="仿宋_GB2312" w:hAnsi="仿宋" w:eastAsia="仿宋_GB2312" w:cs="仿宋_GB2312"/>
          <w:sz w:val="32"/>
          <w:szCs w:val="32"/>
          <w:lang w:eastAsia="zh-CN"/>
        </w:rPr>
        <w:t>县</w:t>
      </w:r>
      <w:r>
        <w:rPr>
          <w:rFonts w:hint="eastAsia" w:ascii="仿宋_GB2312" w:hAnsi="仿宋" w:eastAsia="仿宋_GB2312" w:cs="仿宋_GB2312"/>
          <w:sz w:val="32"/>
          <w:szCs w:val="32"/>
        </w:rPr>
        <w:t>政府和有关部门委托事项。</w:t>
      </w:r>
    </w:p>
    <w:p>
      <w:pPr>
        <w:widowControl/>
        <w:ind w:firstLine="560"/>
        <w:jc w:val="left"/>
        <w:rPr>
          <w:rFonts w:ascii="楷体_GB2312" w:hAnsi="仿宋" w:eastAsia="楷体_GB2312" w:cs="仿宋_GB2312"/>
          <w:b/>
          <w:sz w:val="32"/>
          <w:szCs w:val="32"/>
        </w:rPr>
      </w:pPr>
      <w:r>
        <w:rPr>
          <w:rFonts w:hint="eastAsia" w:ascii="楷体_GB2312" w:hAnsi="仿宋" w:eastAsia="楷体_GB2312" w:cs="仿宋_GB2312"/>
          <w:b/>
          <w:sz w:val="32"/>
          <w:szCs w:val="32"/>
        </w:rPr>
        <w:t>（三）人员概况</w:t>
      </w:r>
    </w:p>
    <w:p>
      <w:pPr>
        <w:ind w:firstLine="800" w:firstLineChars="250"/>
        <w:jc w:val="left"/>
        <w:rPr>
          <w:rFonts w:ascii="仿宋" w:hAnsi="仿宋" w:eastAsia="仿宋" w:cs="仿宋_GB2312"/>
          <w:sz w:val="32"/>
          <w:szCs w:val="32"/>
        </w:rPr>
      </w:pPr>
      <w:r>
        <w:rPr>
          <w:rFonts w:hint="eastAsia" w:ascii="仿宋_GB2312" w:hAnsi="仿宋" w:eastAsia="仿宋_GB2312" w:cs="仿宋_GB2312"/>
          <w:sz w:val="32"/>
          <w:szCs w:val="32"/>
        </w:rPr>
        <w:t>编制</w:t>
      </w:r>
      <w:r>
        <w:rPr>
          <w:rFonts w:ascii="仿宋_GB2312" w:hAnsi="仿宋" w:eastAsia="仿宋_GB2312" w:cs="仿宋_GB2312"/>
          <w:sz w:val="32"/>
          <w:szCs w:val="32"/>
        </w:rPr>
        <w:t>4</w:t>
      </w:r>
      <w:r>
        <w:rPr>
          <w:rFonts w:hint="eastAsia" w:ascii="仿宋_GB2312" w:hAnsi="仿宋" w:eastAsia="仿宋_GB2312" w:cs="仿宋_GB2312"/>
          <w:sz w:val="32"/>
          <w:szCs w:val="32"/>
        </w:rPr>
        <w:t>名（行政编</w:t>
      </w:r>
      <w:r>
        <w:rPr>
          <w:rFonts w:ascii="仿宋_GB2312" w:hAnsi="仿宋" w:eastAsia="仿宋_GB2312" w:cs="仿宋_GB2312"/>
          <w:sz w:val="32"/>
          <w:szCs w:val="32"/>
        </w:rPr>
        <w:t>3</w:t>
      </w:r>
      <w:r>
        <w:rPr>
          <w:rFonts w:hint="eastAsia" w:ascii="仿宋_GB2312" w:hAnsi="仿宋" w:eastAsia="仿宋_GB2312" w:cs="仿宋_GB2312"/>
          <w:sz w:val="32"/>
          <w:szCs w:val="32"/>
        </w:rPr>
        <w:t>名，工勤编</w:t>
      </w:r>
      <w:r>
        <w:rPr>
          <w:rFonts w:ascii="仿宋_GB2312" w:hAnsi="仿宋" w:eastAsia="仿宋_GB2312" w:cs="仿宋_GB2312"/>
          <w:sz w:val="32"/>
          <w:szCs w:val="32"/>
        </w:rPr>
        <w:t>1</w:t>
      </w:r>
      <w:r>
        <w:rPr>
          <w:rFonts w:hint="eastAsia" w:ascii="仿宋_GB2312" w:hAnsi="仿宋" w:eastAsia="仿宋_GB2312" w:cs="仿宋_GB2312"/>
          <w:sz w:val="32"/>
          <w:szCs w:val="32"/>
        </w:rPr>
        <w:t>名），目前单位实有人员6人，其中在编人员2人（行政1名，工勤</w:t>
      </w:r>
      <w:r>
        <w:rPr>
          <w:rFonts w:ascii="仿宋_GB2312" w:hAnsi="仿宋" w:eastAsia="仿宋_GB2312" w:cs="仿宋_GB2312"/>
          <w:sz w:val="32"/>
          <w:szCs w:val="32"/>
        </w:rPr>
        <w:t>1</w:t>
      </w:r>
      <w:r>
        <w:rPr>
          <w:rFonts w:hint="eastAsia" w:ascii="仿宋_GB2312" w:hAnsi="仿宋" w:eastAsia="仿宋_GB2312" w:cs="仿宋_GB2312"/>
          <w:sz w:val="32"/>
          <w:szCs w:val="32"/>
        </w:rPr>
        <w:t>名），任职未调动4人。</w:t>
      </w:r>
    </w:p>
    <w:p>
      <w:pPr>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widowControl/>
        <w:ind w:firstLine="560"/>
        <w:jc w:val="left"/>
        <w:rPr>
          <w:rFonts w:ascii="楷体_GB2312" w:hAnsi="仿宋" w:eastAsia="楷体_GB2312" w:cs="仿宋_GB2312"/>
          <w:b/>
          <w:sz w:val="32"/>
          <w:szCs w:val="32"/>
        </w:rPr>
      </w:pPr>
      <w:r>
        <w:rPr>
          <w:rFonts w:hint="eastAsia" w:ascii="楷体_GB2312" w:hAnsi="仿宋" w:eastAsia="楷体_GB2312" w:cs="仿宋_GB2312"/>
          <w:b/>
          <w:sz w:val="32"/>
          <w:szCs w:val="32"/>
        </w:rPr>
        <w:t>（一）部门财政资金收入情况</w:t>
      </w:r>
    </w:p>
    <w:p>
      <w:pPr>
        <w:ind w:firstLine="800" w:firstLineChars="250"/>
        <w:jc w:val="left"/>
        <w:rPr>
          <w:rFonts w:ascii="仿宋" w:hAnsi="仿宋" w:eastAsia="仿宋" w:cs="仿宋_GB2312"/>
          <w:sz w:val="32"/>
          <w:szCs w:val="32"/>
        </w:rPr>
      </w:pPr>
      <w:r>
        <w:rPr>
          <w:rFonts w:ascii="仿宋_GB2312" w:hAnsi="仿宋" w:eastAsia="仿宋_GB2312" w:cs="仿宋_GB2312"/>
          <w:sz w:val="32"/>
          <w:szCs w:val="32"/>
        </w:rPr>
        <w:t>20</w:t>
      </w:r>
      <w:r>
        <w:rPr>
          <w:rFonts w:hint="eastAsia" w:ascii="仿宋_GB2312" w:hAnsi="仿宋" w:eastAsia="仿宋_GB2312" w:cs="仿宋_GB2312"/>
          <w:sz w:val="32"/>
          <w:szCs w:val="32"/>
        </w:rPr>
        <w:t>21年财政资金收入71.8751万元，</w:t>
      </w:r>
      <w:r>
        <w:rPr>
          <w:rFonts w:hint="eastAsia" w:ascii="仿宋_GB2312" w:hAnsi="宋体" w:eastAsia="仿宋_GB2312" w:cs="宋体"/>
          <w:color w:val="000000"/>
          <w:kern w:val="0"/>
          <w:sz w:val="32"/>
          <w:szCs w:val="32"/>
          <w:shd w:val="clear" w:color="auto" w:fill="FFFFFF"/>
        </w:rPr>
        <w:t>为全额财政拨款，</w:t>
      </w:r>
      <w:r>
        <w:rPr>
          <w:rFonts w:hint="eastAsia" w:ascii="仿宋_GB2312" w:hAnsi="仿宋" w:eastAsia="仿宋_GB2312" w:cs="仿宋_GB2312"/>
          <w:sz w:val="32"/>
          <w:szCs w:val="32"/>
        </w:rPr>
        <w:t>包括基本支出61.5751万元、项目支出10.3万元。</w:t>
      </w:r>
      <w:r>
        <w:rPr>
          <w:rFonts w:ascii="仿宋_GB2312" w:hAnsi="仿宋" w:eastAsia="仿宋_GB2312" w:cs="仿宋_GB2312"/>
          <w:sz w:val="32"/>
          <w:szCs w:val="32"/>
        </w:rPr>
        <w:t>1.</w:t>
      </w:r>
      <w:r>
        <w:rPr>
          <w:rFonts w:hint="eastAsia" w:ascii="仿宋_GB2312" w:hAnsi="仿宋" w:eastAsia="仿宋_GB2312" w:cs="仿宋_GB2312"/>
          <w:sz w:val="32"/>
          <w:szCs w:val="32"/>
        </w:rPr>
        <w:t>基本支出收入61.5751万元，其中一般公共服务支出49.4267万元，社会保障和就业支出6.2103万元，住房保障支出2.7827万元，卫生健康支出3.1553万元。</w:t>
      </w:r>
      <w:r>
        <w:rPr>
          <w:rFonts w:ascii="仿宋_GB2312" w:hAnsi="仿宋" w:eastAsia="仿宋_GB2312" w:cs="仿宋_GB2312"/>
          <w:sz w:val="32"/>
          <w:szCs w:val="32"/>
        </w:rPr>
        <w:t>2.</w:t>
      </w:r>
      <w:r>
        <w:rPr>
          <w:rFonts w:hint="eastAsia" w:ascii="仿宋_GB2312" w:hAnsi="仿宋" w:eastAsia="仿宋_GB2312" w:cs="仿宋_GB2312"/>
          <w:sz w:val="32"/>
          <w:szCs w:val="32"/>
        </w:rPr>
        <w:t>项目支出10.3万元，其中民营经济考察调研经费3.9万元，驻村工作经费0.4万元，非公经济人士教育培训经费6.0万元。</w:t>
      </w:r>
    </w:p>
    <w:p>
      <w:pPr>
        <w:widowControl/>
        <w:ind w:firstLine="560"/>
        <w:jc w:val="left"/>
        <w:rPr>
          <w:rFonts w:ascii="楷体_GB2312" w:hAnsi="仿宋" w:eastAsia="楷体_GB2312" w:cs="仿宋_GB2312"/>
          <w:b/>
          <w:sz w:val="32"/>
          <w:szCs w:val="32"/>
        </w:rPr>
      </w:pPr>
      <w:r>
        <w:rPr>
          <w:rFonts w:hint="eastAsia" w:ascii="楷体_GB2312" w:hAnsi="仿宋" w:eastAsia="楷体_GB2312" w:cs="仿宋_GB2312"/>
          <w:b/>
          <w:sz w:val="32"/>
          <w:szCs w:val="32"/>
        </w:rPr>
        <w:t>（二）部门财政资金支出情况</w:t>
      </w:r>
    </w:p>
    <w:p>
      <w:pPr>
        <w:ind w:firstLine="800" w:firstLineChars="250"/>
        <w:jc w:val="left"/>
        <w:rPr>
          <w:rFonts w:ascii="仿宋_GB2312" w:hAnsi="仿宋" w:eastAsia="仿宋_GB2312" w:cs="仿宋_GB2312"/>
          <w:sz w:val="32"/>
          <w:szCs w:val="32"/>
        </w:rPr>
      </w:pPr>
      <w:r>
        <w:rPr>
          <w:rFonts w:ascii="仿宋_GB2312" w:hAnsi="仿宋" w:eastAsia="仿宋_GB2312" w:cs="仿宋_GB2312"/>
          <w:sz w:val="32"/>
          <w:szCs w:val="32"/>
        </w:rPr>
        <w:t>20</w:t>
      </w:r>
      <w:r>
        <w:rPr>
          <w:rFonts w:hint="eastAsia" w:ascii="仿宋_GB2312" w:hAnsi="仿宋" w:eastAsia="仿宋_GB2312" w:cs="仿宋_GB2312"/>
          <w:sz w:val="32"/>
          <w:szCs w:val="32"/>
        </w:rPr>
        <w:t>21年全年支出合计71.8751万元。包括基本支出61.5751万元、项目支出10.3万元。</w:t>
      </w:r>
    </w:p>
    <w:p>
      <w:pPr>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w:t>
      </w:r>
    </w:p>
    <w:p>
      <w:pPr>
        <w:ind w:firstLine="643" w:firstLineChars="200"/>
        <w:rPr>
          <w:rFonts w:ascii="仿宋" w:hAnsi="仿宋" w:eastAsia="仿宋" w:cs="仿宋_GB2312"/>
          <w:sz w:val="32"/>
          <w:szCs w:val="32"/>
        </w:rPr>
      </w:pPr>
      <w:r>
        <w:rPr>
          <w:rFonts w:hint="eastAsia" w:ascii="楷体_GB2312" w:hAnsi="仿宋" w:eastAsia="楷体_GB2312" w:cs="仿宋_GB2312"/>
          <w:b/>
          <w:sz w:val="32"/>
          <w:szCs w:val="32"/>
        </w:rPr>
        <w:t>（一）部门预算管理</w:t>
      </w:r>
    </w:p>
    <w:p>
      <w:pPr>
        <w:ind w:firstLine="800" w:firstLineChars="250"/>
        <w:jc w:val="left"/>
        <w:rPr>
          <w:rFonts w:ascii="仿宋_GB2312" w:hAnsi="仿宋" w:eastAsia="仿宋_GB2312" w:cs="仿宋_GB2312"/>
          <w:sz w:val="32"/>
          <w:szCs w:val="32"/>
        </w:rPr>
      </w:pPr>
      <w:r>
        <w:rPr>
          <w:rFonts w:hint="eastAsia" w:ascii="仿宋_GB2312" w:hAnsi="微软雅黑" w:eastAsia="仿宋_GB2312" w:cs="宋体"/>
          <w:color w:val="000000"/>
          <w:kern w:val="0"/>
          <w:sz w:val="32"/>
          <w:szCs w:val="32"/>
          <w:shd w:val="clear" w:color="auto" w:fill="FFFFFF"/>
        </w:rPr>
        <w:t>预算编制严格按照县预算编制方案科学合理编制本部门预算，提前做好情况摸底、数据收集、填报绩效目标、细化专项预算，</w:t>
      </w:r>
      <w:r>
        <w:rPr>
          <w:rFonts w:hint="eastAsia" w:ascii="仿宋_GB2312" w:hAnsi="微软雅黑" w:eastAsia="仿宋_GB2312" w:cs="宋体"/>
          <w:color w:val="333333"/>
          <w:kern w:val="0"/>
          <w:sz w:val="32"/>
          <w:szCs w:val="32"/>
        </w:rPr>
        <w:t>根据定员和人员经费标准、日常公用经费定额计算确定经费预算</w:t>
      </w:r>
      <w:r>
        <w:rPr>
          <w:rFonts w:hint="eastAsia" w:ascii="仿宋_GB2312" w:hAnsi="微软雅黑" w:eastAsia="仿宋_GB2312" w:cs="宋体"/>
          <w:color w:val="000000"/>
          <w:kern w:val="0"/>
          <w:sz w:val="32"/>
          <w:szCs w:val="32"/>
          <w:shd w:val="clear" w:color="auto" w:fill="FFFFFF"/>
        </w:rPr>
        <w:t>，从严控制项目经费，</w:t>
      </w:r>
      <w:r>
        <w:rPr>
          <w:rFonts w:hint="eastAsia" w:ascii="仿宋_GB2312" w:hAnsi="微软雅黑" w:eastAsia="仿宋_GB2312" w:cs="宋体"/>
          <w:color w:val="333333"/>
          <w:kern w:val="0"/>
          <w:sz w:val="32"/>
          <w:szCs w:val="32"/>
        </w:rPr>
        <w:t>按照“零增长”的原则编制“三公经费”预算，</w:t>
      </w:r>
      <w:r>
        <w:rPr>
          <w:rFonts w:hint="eastAsia" w:ascii="仿宋_GB2312" w:hAnsi="微软雅黑" w:eastAsia="仿宋_GB2312" w:cs="宋体"/>
          <w:color w:val="000000"/>
          <w:kern w:val="0"/>
          <w:sz w:val="32"/>
          <w:szCs w:val="32"/>
          <w:shd w:val="clear" w:color="auto" w:fill="FFFFFF"/>
        </w:rPr>
        <w:t>压缩公业务费。科学编制项目支出，</w:t>
      </w:r>
      <w:r>
        <w:rPr>
          <w:rFonts w:hint="eastAsia" w:ascii="仿宋_GB2312" w:hAnsi="微软雅黑" w:eastAsia="仿宋_GB2312" w:cs="宋体"/>
          <w:color w:val="333333"/>
          <w:kern w:val="0"/>
          <w:sz w:val="32"/>
          <w:szCs w:val="32"/>
        </w:rPr>
        <w:t>按照“谁申请资金，谁编制目标”的要求，编制部门预算项目绩效目标。按时完成预算编制报送工作</w:t>
      </w:r>
      <w:r>
        <w:rPr>
          <w:rFonts w:hint="eastAsia" w:ascii="仿宋_GB2312" w:hAnsi="仿宋" w:eastAsia="仿宋_GB2312" w:cs="仿宋_GB2312"/>
          <w:sz w:val="32"/>
          <w:szCs w:val="32"/>
        </w:rPr>
        <w:t>。</w:t>
      </w:r>
    </w:p>
    <w:p>
      <w:pPr>
        <w:ind w:firstLine="643" w:firstLineChars="200"/>
        <w:rPr>
          <w:rFonts w:ascii="仿宋_GB2312" w:hAnsi="仿宋" w:eastAsia="仿宋_GB2312" w:cs="仿宋_GB2312"/>
          <w:sz w:val="32"/>
          <w:szCs w:val="32"/>
        </w:rPr>
      </w:pPr>
      <w:r>
        <w:rPr>
          <w:rFonts w:hint="eastAsia" w:ascii="楷体_GB2312" w:hAnsi="仿宋" w:eastAsia="楷体_GB2312" w:cs="仿宋_GB2312"/>
          <w:b/>
          <w:sz w:val="32"/>
          <w:szCs w:val="32"/>
        </w:rPr>
        <w:t>（二）结果应用情况</w:t>
      </w:r>
    </w:p>
    <w:p>
      <w:pPr>
        <w:ind w:firstLine="803" w:firstLineChars="250"/>
        <w:jc w:val="left"/>
        <w:rPr>
          <w:rFonts w:ascii="仿宋_GB2312" w:hAnsi="仿宋" w:eastAsia="仿宋_GB2312" w:cs="仿宋_GB2312"/>
          <w:sz w:val="32"/>
          <w:szCs w:val="32"/>
        </w:rPr>
      </w:pPr>
      <w:r>
        <w:rPr>
          <w:rFonts w:hint="eastAsia" w:ascii="仿宋_GB2312" w:hAnsi="宋体" w:eastAsia="仿宋_GB2312" w:cs="宋体"/>
          <w:b/>
          <w:bCs/>
          <w:color w:val="000000"/>
          <w:kern w:val="0"/>
          <w:sz w:val="32"/>
          <w:szCs w:val="32"/>
          <w:shd w:val="clear" w:color="auto" w:fill="FFFFFF"/>
          <w:lang w:val="zh-CN"/>
        </w:rPr>
        <w:t>一是</w:t>
      </w:r>
      <w:r>
        <w:rPr>
          <w:rFonts w:hint="eastAsia" w:ascii="仿宋_GB2312" w:eastAsia="仿宋_GB2312"/>
          <w:color w:val="000000"/>
          <w:kern w:val="0"/>
          <w:sz w:val="32"/>
          <w:szCs w:val="32"/>
        </w:rPr>
        <w:t>严格执行财务管理制度。严格执行中央和上级有关部门出台的财经纪律相关规定，严控"三公经费"、会议费、培训费、差旅费等支出。严格报账程序，严把票据审核关，减少现金支付。认真做好会计核算，做到账账相符、账实相符。</w:t>
      </w:r>
      <w:r>
        <w:rPr>
          <w:rFonts w:hint="eastAsia" w:ascii="仿宋_GB2312" w:hAnsi="宋体" w:eastAsia="仿宋_GB2312" w:cs="宋体"/>
          <w:b/>
          <w:bCs/>
          <w:color w:val="000000"/>
          <w:kern w:val="0"/>
          <w:sz w:val="32"/>
          <w:szCs w:val="32"/>
          <w:shd w:val="clear" w:color="auto" w:fill="FFFFFF"/>
          <w:lang w:val="zh-CN"/>
        </w:rPr>
        <w:t>二是</w:t>
      </w:r>
      <w:r>
        <w:rPr>
          <w:rFonts w:hint="eastAsia" w:ascii="仿宋_GB2312" w:eastAsia="仿宋_GB2312"/>
          <w:color w:val="000000"/>
          <w:kern w:val="0"/>
          <w:sz w:val="32"/>
          <w:szCs w:val="32"/>
        </w:rPr>
        <w:t>加强政府采购管理。严格按照《</w:t>
      </w:r>
      <w:r>
        <w:rPr>
          <w:rFonts w:hint="eastAsia" w:ascii="仿宋_GB2312" w:eastAsia="仿宋_GB2312"/>
          <w:color w:val="000000"/>
          <w:kern w:val="0"/>
          <w:sz w:val="32"/>
          <w:szCs w:val="32"/>
          <w:lang w:eastAsia="zh-CN"/>
        </w:rPr>
        <w:t>中华人民共和国</w:t>
      </w:r>
      <w:r>
        <w:rPr>
          <w:rFonts w:hint="eastAsia" w:ascii="仿宋_GB2312" w:eastAsia="仿宋_GB2312"/>
          <w:color w:val="000000"/>
          <w:kern w:val="0"/>
          <w:sz w:val="32"/>
          <w:szCs w:val="32"/>
        </w:rPr>
        <w:t>政府采购法》和《</w:t>
      </w:r>
      <w:r>
        <w:rPr>
          <w:rFonts w:hint="eastAsia" w:ascii="仿宋_GB2312" w:eastAsia="仿宋_GB2312"/>
          <w:color w:val="000000"/>
          <w:kern w:val="0"/>
          <w:sz w:val="32"/>
          <w:szCs w:val="32"/>
          <w:lang w:eastAsia="zh-CN"/>
        </w:rPr>
        <w:t>中华人民共和国</w:t>
      </w:r>
      <w:r>
        <w:rPr>
          <w:rFonts w:hint="eastAsia" w:ascii="仿宋_GB2312" w:eastAsia="仿宋_GB2312"/>
          <w:color w:val="000000"/>
          <w:kern w:val="0"/>
          <w:sz w:val="32"/>
          <w:szCs w:val="32"/>
        </w:rPr>
        <w:t>政府采购法实施条例》等相关管理规定，根据省采购目录和财政部门预算管理要求，编制政府采购计划，将采购项目全部纳入部门预算管理</w:t>
      </w:r>
      <w:r>
        <w:rPr>
          <w:rFonts w:hint="eastAsia" w:ascii="仿宋_GB2312" w:hAnsi="仿宋" w:eastAsia="仿宋_GB2312" w:cs="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ind w:firstLine="643" w:firstLineChars="200"/>
        <w:rPr>
          <w:rFonts w:ascii="仿宋_GB2312" w:hAnsi="仿宋" w:eastAsia="仿宋_GB2312" w:cs="仿宋_GB2312"/>
          <w:sz w:val="32"/>
          <w:szCs w:val="32"/>
        </w:rPr>
      </w:pPr>
      <w:r>
        <w:rPr>
          <w:rFonts w:hint="eastAsia" w:ascii="楷体_GB2312" w:hAnsi="仿宋" w:eastAsia="楷体_GB2312" w:cs="仿宋_GB2312"/>
          <w:b/>
          <w:sz w:val="32"/>
          <w:szCs w:val="32"/>
        </w:rPr>
        <w:t>（一）评价结论。</w:t>
      </w:r>
      <w:r>
        <w:rPr>
          <w:rFonts w:hint="eastAsia" w:ascii="仿宋_GB2312" w:eastAsia="仿宋_GB2312"/>
          <w:color w:val="000000"/>
          <w:sz w:val="32"/>
          <w:szCs w:val="32"/>
          <w:shd w:val="clear" w:color="auto" w:fill="FFFFFF"/>
        </w:rPr>
        <w:t>2021年我单位严格按照年初预算批复认真组织实施, 严格执行财经纪律相关管理规定，做到各项收支安排使用符合事业发展计划和财政政策的要求，确保了单位正常运行和重大项目的实施，较好地完成了2021年部门预算编制和决算汇总工作, 2021年目标任务基本完成，预算执行情况较好。</w:t>
      </w:r>
      <w:r>
        <w:rPr>
          <w:rFonts w:hint="eastAsia" w:ascii="仿宋_GB2312" w:hAnsi="仿宋" w:eastAsia="仿宋_GB2312" w:cs="仿宋_GB2312"/>
          <w:sz w:val="32"/>
          <w:szCs w:val="32"/>
        </w:rPr>
        <w:t>根据评价指标体系测算，本单位部门整体支出绩效评价结果等次为“优”。</w:t>
      </w:r>
    </w:p>
    <w:p>
      <w:pPr>
        <w:ind w:firstLine="803" w:firstLineChars="250"/>
        <w:jc w:val="left"/>
        <w:rPr>
          <w:rFonts w:ascii="仿宋" w:hAnsi="仿宋" w:eastAsia="仿宋" w:cs="仿宋_GB2312"/>
          <w:sz w:val="32"/>
          <w:szCs w:val="32"/>
        </w:rPr>
      </w:pPr>
      <w:r>
        <w:rPr>
          <w:rFonts w:hint="eastAsia" w:ascii="楷体_GB2312" w:hAnsi="仿宋" w:eastAsia="楷体_GB2312" w:cs="仿宋_GB2312"/>
          <w:b/>
          <w:sz w:val="32"/>
          <w:szCs w:val="32"/>
        </w:rPr>
        <w:t>（二）存在问题。</w:t>
      </w:r>
      <w:r>
        <w:rPr>
          <w:rFonts w:hint="eastAsia" w:ascii="仿宋_GB2312" w:eastAsia="仿宋_GB2312"/>
          <w:color w:val="000000"/>
          <w:sz w:val="32"/>
          <w:szCs w:val="32"/>
          <w:shd w:val="clear" w:color="auto" w:fill="FFFFFF"/>
        </w:rPr>
        <w:t>预算编制不够明确和细化,预算编制的合理性需要提高，预算执行力度还需要进一步加强。</w:t>
      </w:r>
    </w:p>
    <w:p>
      <w:pPr>
        <w:ind w:firstLine="643" w:firstLineChars="200"/>
        <w:rPr>
          <w:rFonts w:ascii="仿宋_GB2312" w:eastAsia="仿宋_GB2312"/>
          <w:color w:val="000000"/>
          <w:sz w:val="32"/>
          <w:szCs w:val="32"/>
          <w:shd w:val="clear" w:color="auto" w:fill="FFFFFF"/>
        </w:rPr>
      </w:pPr>
      <w:r>
        <w:rPr>
          <w:rFonts w:hint="eastAsia" w:ascii="楷体_GB2312" w:hAnsi="仿宋" w:eastAsia="楷体_GB2312" w:cs="仿宋_GB2312"/>
          <w:b/>
          <w:sz w:val="32"/>
          <w:szCs w:val="32"/>
        </w:rPr>
        <w:t>（三）改进建议。</w:t>
      </w:r>
      <w:r>
        <w:rPr>
          <w:rFonts w:hint="eastAsia" w:ascii="仿宋_GB2312" w:eastAsia="仿宋_GB2312"/>
          <w:color w:val="000000"/>
          <w:sz w:val="32"/>
          <w:szCs w:val="32"/>
          <w:shd w:val="clear" w:color="auto" w:fill="FFFFFF"/>
        </w:rPr>
        <w:t>今后的工作中</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我单位将严格按照《</w:t>
      </w:r>
      <w:r>
        <w:rPr>
          <w:rFonts w:hint="eastAsia" w:ascii="仿宋_GB2312" w:eastAsia="仿宋_GB2312"/>
          <w:color w:val="000000"/>
          <w:sz w:val="32"/>
          <w:szCs w:val="32"/>
          <w:shd w:val="clear" w:color="auto" w:fill="FFFFFF"/>
          <w:lang w:eastAsia="zh-CN"/>
        </w:rPr>
        <w:t>中华人民共和国</w:t>
      </w:r>
      <w:r>
        <w:rPr>
          <w:rFonts w:hint="eastAsia" w:ascii="仿宋_GB2312" w:eastAsia="仿宋_GB2312"/>
          <w:color w:val="000000"/>
          <w:sz w:val="32"/>
          <w:szCs w:val="32"/>
          <w:shd w:val="clear" w:color="auto" w:fill="FFFFFF"/>
        </w:rPr>
        <w:t>预算法》等政策法规的要求，加强预算编制的科学性、合理性,让预算编制更贴合实际，使项目预算与工作结合更加紧密。严格按照批复预算执行，并按照项目开展进度有计划申请资金及时支付。加强预算绩效管理，增强预算约束力，做好预算项目支出绩效目标及各项绩效指标的细化、量化工作</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用好用活各类财政资金，提高财政资金的使用效益。</w:t>
      </w: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 w:hAnsi="仿宋" w:eastAsia="仿宋"/>
          <w:sz w:val="32"/>
          <w:szCs w:val="32"/>
        </w:rPr>
      </w:pPr>
    </w:p>
    <w:p>
      <w:pPr>
        <w:widowControl/>
        <w:spacing w:line="576" w:lineRule="exact"/>
        <w:jc w:val="left"/>
        <w:rPr>
          <w:rStyle w:val="18"/>
          <w:rFonts w:ascii="仿宋_GB2312" w:hAnsi="仿宋_GB2312" w:eastAsia="仿宋_GB2312" w:cs="仿宋_GB2312"/>
          <w:b w:val="0"/>
          <w:bCs w:val="0"/>
          <w:kern w:val="2"/>
          <w:sz w:val="32"/>
          <w:szCs w:val="32"/>
        </w:rPr>
      </w:pPr>
      <w:r>
        <w:rPr>
          <w:rStyle w:val="18"/>
          <w:rFonts w:hint="eastAsia" w:ascii="仿宋" w:hAnsi="仿宋" w:eastAsia="仿宋"/>
          <w:sz w:val="32"/>
          <w:szCs w:val="32"/>
        </w:rPr>
        <w:t>附件</w:t>
      </w:r>
      <w:r>
        <w:rPr>
          <w:rStyle w:val="18"/>
          <w:rFonts w:ascii="仿宋" w:hAnsi="仿宋" w:eastAsia="仿宋"/>
          <w:sz w:val="32"/>
          <w:szCs w:val="32"/>
        </w:rPr>
        <w:t>2</w:t>
      </w:r>
      <w:bookmarkEnd w:id="59"/>
    </w:p>
    <w:p>
      <w:pPr>
        <w:spacing w:line="576" w:lineRule="exact"/>
        <w:jc w:val="center"/>
        <w:rPr>
          <w:rFonts w:ascii="黑体" w:hAnsi="黑体" w:eastAsia="黑体" w:cs="方正小标宋简体"/>
          <w:sz w:val="44"/>
          <w:szCs w:val="44"/>
        </w:rPr>
      </w:pPr>
      <w:r>
        <w:rPr>
          <w:rFonts w:ascii="黑体" w:hAnsi="黑体" w:eastAsia="黑体" w:cs="方正小标宋简体"/>
          <w:sz w:val="44"/>
          <w:szCs w:val="44"/>
        </w:rPr>
        <w:t>20</w:t>
      </w:r>
      <w:r>
        <w:rPr>
          <w:rFonts w:hint="eastAsia" w:ascii="黑体" w:hAnsi="黑体" w:eastAsia="黑体" w:cs="方正小标宋简体"/>
          <w:sz w:val="44"/>
          <w:szCs w:val="44"/>
        </w:rPr>
        <w:t>21年民营经济考察调研经费支出</w:t>
      </w:r>
    </w:p>
    <w:p>
      <w:pPr>
        <w:spacing w:line="576"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一、评价工作开展及项目情况</w:t>
      </w:r>
    </w:p>
    <w:p>
      <w:pPr>
        <w:spacing w:line="576" w:lineRule="exact"/>
        <w:ind w:firstLine="645"/>
        <w:rPr>
          <w:rFonts w:ascii="仿宋" w:hAnsi="仿宋" w:eastAsia="仿宋" w:cs="仿宋_GB2312"/>
          <w:sz w:val="32"/>
          <w:szCs w:val="32"/>
        </w:rPr>
      </w:pPr>
      <w:r>
        <w:rPr>
          <w:rFonts w:hint="eastAsia" w:ascii="仿宋" w:hAnsi="仿宋" w:eastAsia="仿宋" w:cs="仿宋_GB2312"/>
          <w:sz w:val="32"/>
          <w:szCs w:val="32"/>
        </w:rPr>
        <w:t>民营经济考察调研经费，主要用于工商联每年干部职工到各民营企业开展考察调研，</w:t>
      </w:r>
      <w:r>
        <w:rPr>
          <w:rFonts w:hint="eastAsia" w:ascii="仿宋" w:hAnsi="仿宋" w:eastAsia="仿宋"/>
          <w:sz w:val="32"/>
          <w:szCs w:val="32"/>
        </w:rPr>
        <w:t>加强和改进非公经济代表人士思想政治工作，团结、教育、引导非公经济人士爱国、敬业、诚信、守法</w:t>
      </w:r>
      <w:r>
        <w:rPr>
          <w:rFonts w:hint="eastAsia" w:ascii="仿宋" w:hAnsi="仿宋" w:eastAsia="仿宋" w:cs="仿宋_GB2312"/>
          <w:sz w:val="32"/>
          <w:szCs w:val="32"/>
        </w:rPr>
        <w:t>。县财政</w:t>
      </w:r>
      <w:r>
        <w:rPr>
          <w:rFonts w:ascii="仿宋" w:hAnsi="仿宋" w:eastAsia="仿宋" w:cs="仿宋_GB2312"/>
          <w:sz w:val="32"/>
          <w:szCs w:val="32"/>
        </w:rPr>
        <w:t>2013</w:t>
      </w:r>
      <w:r>
        <w:rPr>
          <w:rFonts w:hint="eastAsia" w:ascii="仿宋" w:hAnsi="仿宋" w:eastAsia="仿宋" w:cs="仿宋_GB2312"/>
          <w:sz w:val="32"/>
          <w:szCs w:val="32"/>
        </w:rPr>
        <w:t>年至</w:t>
      </w:r>
      <w:r>
        <w:rPr>
          <w:rFonts w:ascii="仿宋" w:hAnsi="仿宋" w:eastAsia="仿宋" w:cs="仿宋_GB2312"/>
          <w:sz w:val="32"/>
          <w:szCs w:val="32"/>
        </w:rPr>
        <w:t>2015</w:t>
      </w:r>
      <w:r>
        <w:rPr>
          <w:rFonts w:hint="eastAsia" w:ascii="仿宋" w:hAnsi="仿宋" w:eastAsia="仿宋" w:cs="仿宋_GB2312"/>
          <w:sz w:val="32"/>
          <w:szCs w:val="32"/>
        </w:rPr>
        <w:t>年采用一事一议方式预算，</w:t>
      </w:r>
      <w:r>
        <w:rPr>
          <w:rFonts w:ascii="仿宋" w:hAnsi="仿宋" w:eastAsia="仿宋" w:cs="仿宋_GB2312"/>
          <w:sz w:val="32"/>
          <w:szCs w:val="32"/>
        </w:rPr>
        <w:t>2016</w:t>
      </w:r>
      <w:r>
        <w:rPr>
          <w:rFonts w:hint="eastAsia" w:ascii="仿宋" w:hAnsi="仿宋" w:eastAsia="仿宋" w:cs="仿宋_GB2312"/>
          <w:sz w:val="32"/>
          <w:szCs w:val="32"/>
        </w:rPr>
        <w:t>年至</w:t>
      </w:r>
      <w:r>
        <w:rPr>
          <w:rFonts w:ascii="仿宋" w:hAnsi="仿宋" w:eastAsia="仿宋" w:cs="仿宋_GB2312"/>
          <w:sz w:val="32"/>
          <w:szCs w:val="32"/>
        </w:rPr>
        <w:t>201</w:t>
      </w:r>
      <w:r>
        <w:rPr>
          <w:rFonts w:hint="eastAsia" w:ascii="仿宋" w:hAnsi="仿宋" w:eastAsia="仿宋" w:cs="仿宋_GB2312"/>
          <w:sz w:val="32"/>
          <w:szCs w:val="32"/>
        </w:rPr>
        <w:t>9年延续以前年度标准年度预算</w:t>
      </w:r>
      <w:r>
        <w:rPr>
          <w:rFonts w:ascii="仿宋" w:hAnsi="仿宋" w:eastAsia="仿宋" w:cs="仿宋_GB2312"/>
          <w:sz w:val="32"/>
          <w:szCs w:val="32"/>
        </w:rPr>
        <w:t>5</w:t>
      </w:r>
      <w:r>
        <w:rPr>
          <w:rFonts w:hint="eastAsia" w:ascii="仿宋" w:hAnsi="仿宋" w:eastAsia="仿宋" w:cs="仿宋_GB2312"/>
          <w:sz w:val="32"/>
          <w:szCs w:val="32"/>
        </w:rPr>
        <w:t>万元，</w:t>
      </w:r>
      <w:r>
        <w:rPr>
          <w:rFonts w:ascii="仿宋" w:hAnsi="仿宋" w:eastAsia="仿宋" w:cs="仿宋_GB2312"/>
          <w:sz w:val="32"/>
          <w:szCs w:val="32"/>
        </w:rPr>
        <w:t>20</w:t>
      </w:r>
      <w:r>
        <w:rPr>
          <w:rFonts w:hint="eastAsia" w:ascii="仿宋" w:hAnsi="仿宋" w:eastAsia="仿宋" w:cs="仿宋_GB2312"/>
          <w:sz w:val="32"/>
          <w:szCs w:val="32"/>
        </w:rPr>
        <w:t>21年调至10.3万元。民营经济考察调研经费由县工商联负责实施，根据省、市、县相关工作安排，统筹进行南江县考察调研工作的开展。由于该项目经费主要用于职工考察调研开支的差旅费、办公费等，不存在招标、购买服务行为。以实际发生的费用作为支付依据。</w:t>
      </w:r>
      <w:r>
        <w:rPr>
          <w:rFonts w:ascii="仿宋" w:hAnsi="仿宋" w:eastAsia="仿宋" w:cs="仿宋_GB2312"/>
          <w:sz w:val="32"/>
          <w:szCs w:val="32"/>
        </w:rPr>
        <w:t>20</w:t>
      </w:r>
      <w:r>
        <w:rPr>
          <w:rFonts w:hint="eastAsia" w:ascii="仿宋" w:hAnsi="仿宋" w:eastAsia="仿宋" w:cs="仿宋_GB2312"/>
          <w:sz w:val="32"/>
          <w:szCs w:val="32"/>
        </w:rPr>
        <w:t>21年我单位组织干部职工走访考察县内县外民营企业近6</w:t>
      </w:r>
      <w:r>
        <w:rPr>
          <w:rFonts w:ascii="仿宋" w:hAnsi="仿宋" w:eastAsia="仿宋" w:cs="仿宋_GB2312"/>
          <w:sz w:val="32"/>
          <w:szCs w:val="32"/>
        </w:rPr>
        <w:t>0</w:t>
      </w:r>
      <w:r>
        <w:rPr>
          <w:rFonts w:hint="eastAsia" w:ascii="仿宋" w:hAnsi="仿宋" w:eastAsia="仿宋" w:cs="仿宋_GB2312"/>
          <w:sz w:val="32"/>
          <w:szCs w:val="32"/>
        </w:rPr>
        <w:t>家，为非公经济人士健康成长、非公经济企业健康发展起到了重要作用。</w:t>
      </w:r>
    </w:p>
    <w:p>
      <w:pPr>
        <w:spacing w:line="576"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二、评价结论及绩效分析</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76" w:lineRule="exact"/>
        <w:ind w:firstLine="645"/>
        <w:rPr>
          <w:rFonts w:ascii="仿宋" w:hAnsi="仿宋" w:eastAsia="仿宋" w:cs="仿宋_GB2312"/>
          <w:sz w:val="32"/>
          <w:szCs w:val="32"/>
        </w:rPr>
      </w:pPr>
      <w:r>
        <w:rPr>
          <w:rFonts w:hint="eastAsia" w:ascii="仿宋" w:hAnsi="仿宋" w:eastAsia="仿宋" w:cs="仿宋_GB2312"/>
          <w:sz w:val="32"/>
          <w:szCs w:val="32"/>
        </w:rPr>
        <w:t>民营经济考察调研主要是通过到民营企业走访调研，了解民营企业经营发展状况，协助政府管理民营企业，推进行业商会和异地商会建设。通过走访民营企业，完成了成都南江商会的换届筹备工作和南江长赤商会、房地产行业商会的筹建工作。</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76"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、项目决策</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通过民营企业走访调研，将更多的优秀民营企业家吸纳到县工商联队伍，推动行业商会和异地商会建设，引导他们自我发展，自我约束，搭建</w:t>
      </w:r>
      <w:r>
        <w:rPr>
          <w:rFonts w:hint="eastAsia" w:ascii="仿宋" w:hAnsi="仿宋" w:eastAsia="仿宋" w:cs="仿宋_GB2312"/>
          <w:sz w:val="32"/>
          <w:szCs w:val="32"/>
          <w:lang w:eastAsia="zh-CN"/>
        </w:rPr>
        <w:t>县委县政府</w:t>
      </w:r>
      <w:r>
        <w:rPr>
          <w:rFonts w:hint="eastAsia" w:ascii="仿宋" w:hAnsi="仿宋" w:eastAsia="仿宋" w:cs="仿宋_GB2312"/>
          <w:sz w:val="32"/>
          <w:szCs w:val="32"/>
        </w:rPr>
        <w:t>招商引资平台，鼓励和教育他们反哺社会，回馈家乡。</w:t>
      </w:r>
    </w:p>
    <w:p>
      <w:pPr>
        <w:spacing w:line="576"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、项目管理</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该项目的实施有效发挥党和政府联系非公有制经济人士的桥梁纽带作用，促进非公经济人士健康成长；有效地促进商会建设和管理，充分发挥好政府管理和服务非公有制经济的助手作用。</w:t>
      </w:r>
    </w:p>
    <w:p>
      <w:pPr>
        <w:spacing w:line="576"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、项目绩效</w:t>
      </w:r>
    </w:p>
    <w:p>
      <w:pPr>
        <w:spacing w:line="576" w:lineRule="exact"/>
        <w:ind w:firstLine="645"/>
        <w:rPr>
          <w:rFonts w:ascii="仿宋" w:hAnsi="仿宋" w:eastAsia="仿宋" w:cs="仿宋_GB2312"/>
          <w:sz w:val="32"/>
          <w:szCs w:val="32"/>
        </w:rPr>
      </w:pPr>
      <w:r>
        <w:rPr>
          <w:rFonts w:ascii="仿宋" w:hAnsi="仿宋" w:eastAsia="仿宋" w:cs="仿宋_GB2312"/>
          <w:sz w:val="32"/>
          <w:szCs w:val="32"/>
        </w:rPr>
        <w:t>20</w:t>
      </w:r>
      <w:r>
        <w:rPr>
          <w:rFonts w:hint="eastAsia" w:ascii="仿宋" w:hAnsi="仿宋" w:eastAsia="仿宋" w:cs="仿宋_GB2312"/>
          <w:sz w:val="32"/>
          <w:szCs w:val="32"/>
        </w:rPr>
        <w:t>21年我会走访民营企业近6</w:t>
      </w:r>
      <w:r>
        <w:rPr>
          <w:rFonts w:ascii="仿宋" w:hAnsi="仿宋" w:eastAsia="仿宋" w:cs="仿宋_GB2312"/>
          <w:sz w:val="32"/>
          <w:szCs w:val="32"/>
        </w:rPr>
        <w:t>0</w:t>
      </w:r>
      <w:r>
        <w:rPr>
          <w:rFonts w:hint="eastAsia" w:ascii="仿宋" w:hAnsi="仿宋" w:eastAsia="仿宋" w:cs="仿宋_GB2312"/>
          <w:sz w:val="32"/>
          <w:szCs w:val="32"/>
        </w:rPr>
        <w:t>家，完成了成都南江商会的换届筹备工作和南江长赤商会、房地产行业商会的筹建工作。南江县工商联凝聚力进一步增强，会员企业队伍进一步</w:t>
      </w:r>
      <w:r>
        <w:rPr>
          <w:rFonts w:hint="eastAsia" w:ascii="仿宋" w:hAnsi="仿宋" w:eastAsia="仿宋" w:cs="仿宋_GB2312"/>
          <w:sz w:val="32"/>
          <w:szCs w:val="32"/>
          <w:lang w:eastAsia="zh-CN"/>
        </w:rPr>
        <w:t>壮大</w:t>
      </w:r>
      <w:r>
        <w:rPr>
          <w:rFonts w:hint="eastAsia" w:ascii="仿宋" w:hAnsi="仿宋" w:eastAsia="仿宋" w:cs="仿宋_GB2312"/>
          <w:sz w:val="32"/>
          <w:szCs w:val="32"/>
        </w:rPr>
        <w:t>，新增会员企业5</w:t>
      </w:r>
      <w:r>
        <w:rPr>
          <w:rFonts w:ascii="仿宋" w:hAnsi="仿宋" w:eastAsia="仿宋" w:cs="仿宋_GB2312"/>
          <w:sz w:val="32"/>
          <w:szCs w:val="32"/>
        </w:rPr>
        <w:t>8</w:t>
      </w:r>
      <w:r>
        <w:rPr>
          <w:rFonts w:hint="eastAsia" w:ascii="仿宋" w:hAnsi="仿宋" w:eastAsia="仿宋" w:cs="仿宋_GB2312"/>
          <w:sz w:val="32"/>
          <w:szCs w:val="32"/>
        </w:rPr>
        <w:t>家。</w:t>
      </w:r>
    </w:p>
    <w:p>
      <w:pPr>
        <w:spacing w:line="576" w:lineRule="exact"/>
        <w:ind w:firstLine="640"/>
        <w:rPr>
          <w:rFonts w:ascii="仿宋" w:hAnsi="仿宋" w:eastAsia="仿宋" w:cs="仿宋_GB2312"/>
          <w:sz w:val="32"/>
          <w:szCs w:val="32"/>
        </w:rPr>
      </w:pPr>
      <w:r>
        <w:rPr>
          <w:rFonts w:hint="eastAsia" w:ascii="黑体" w:hAnsi="黑体" w:eastAsia="黑体" w:cs="仿宋_GB2312"/>
          <w:sz w:val="32"/>
          <w:szCs w:val="32"/>
        </w:rPr>
        <w:t>三、存在</w:t>
      </w:r>
      <w:r>
        <w:rPr>
          <w:rFonts w:hint="eastAsia" w:ascii="黑体" w:hAnsi="黑体" w:eastAsia="黑体" w:cs="仿宋_GB2312"/>
          <w:sz w:val="32"/>
          <w:szCs w:val="32"/>
          <w:lang w:eastAsia="zh-CN"/>
        </w:rPr>
        <w:t>的</w:t>
      </w:r>
      <w:r>
        <w:rPr>
          <w:rFonts w:hint="eastAsia" w:ascii="黑体" w:hAnsi="黑体" w:eastAsia="黑体" w:cs="仿宋_GB2312"/>
          <w:sz w:val="32"/>
          <w:szCs w:val="32"/>
        </w:rPr>
        <w:t>主要问题</w:t>
      </w:r>
      <w:r>
        <w:rPr>
          <w:rFonts w:hint="eastAsia" w:ascii="仿宋" w:hAnsi="仿宋" w:eastAsia="仿宋" w:cs="仿宋_GB2312"/>
          <w:sz w:val="32"/>
          <w:szCs w:val="32"/>
        </w:rPr>
        <w:t>。</w:t>
      </w:r>
    </w:p>
    <w:p>
      <w:pPr>
        <w:ind w:firstLine="640"/>
        <w:rPr>
          <w:rFonts w:ascii="仿宋" w:hAnsi="仿宋" w:eastAsia="仿宋"/>
          <w:sz w:val="32"/>
          <w:szCs w:val="32"/>
        </w:rPr>
      </w:pPr>
      <w:r>
        <w:rPr>
          <w:rFonts w:hint="eastAsia" w:ascii="仿宋" w:hAnsi="仿宋" w:eastAsia="仿宋"/>
          <w:sz w:val="32"/>
          <w:szCs w:val="32"/>
        </w:rPr>
        <w:t>南江县民营经济队伍日渐扩大，教育引导他们健康成长的任务愈来愈重，与省上实现“两个</w:t>
      </w:r>
      <w:r>
        <w:rPr>
          <w:rFonts w:ascii="仿宋" w:hAnsi="仿宋" w:eastAsia="仿宋"/>
          <w:sz w:val="32"/>
          <w:szCs w:val="32"/>
        </w:rPr>
        <w:t>50%</w:t>
      </w:r>
      <w:r>
        <w:rPr>
          <w:rFonts w:hint="eastAsia" w:ascii="仿宋" w:hAnsi="仿宋" w:eastAsia="仿宋"/>
          <w:sz w:val="32"/>
          <w:szCs w:val="32"/>
        </w:rPr>
        <w:t>”的要求差距很大，民营经济考察调研经费已明显不足，导致工作开展有差距。</w:t>
      </w:r>
    </w:p>
    <w:p>
      <w:pPr>
        <w:spacing w:line="576" w:lineRule="exact"/>
        <w:ind w:firstLine="640" w:firstLineChars="200"/>
        <w:rPr>
          <w:rFonts w:ascii="仿宋" w:hAnsi="仿宋" w:eastAsia="仿宋" w:cs="仿宋_GB2312"/>
          <w:sz w:val="32"/>
          <w:szCs w:val="32"/>
        </w:rPr>
      </w:pPr>
      <w:r>
        <w:rPr>
          <w:rFonts w:hint="eastAsia" w:ascii="黑体" w:hAnsi="黑体" w:eastAsia="黑体" w:cs="仿宋_GB2312"/>
          <w:sz w:val="32"/>
          <w:szCs w:val="32"/>
        </w:rPr>
        <w:t>四、相关措施建议</w:t>
      </w:r>
      <w:r>
        <w:rPr>
          <w:rFonts w:hint="eastAsia" w:ascii="仿宋" w:hAnsi="仿宋" w:eastAsia="仿宋" w:cs="仿宋_GB2312"/>
          <w:sz w:val="32"/>
          <w:szCs w:val="32"/>
        </w:rPr>
        <w:t>。待财政有财力时增加民营经济考察调研经费预算。</w:t>
      </w:r>
    </w:p>
    <w:p>
      <w:pPr>
        <w:spacing w:line="576" w:lineRule="exact"/>
        <w:ind w:firstLine="640" w:firstLineChars="200"/>
        <w:rPr>
          <w:rFonts w:ascii="仿宋" w:hAnsi="仿宋" w:eastAsia="仿宋" w:cs="仿宋_GB2312"/>
          <w:sz w:val="32"/>
          <w:szCs w:val="32"/>
        </w:rPr>
      </w:pPr>
    </w:p>
    <w:p>
      <w:pPr>
        <w:spacing w:line="576" w:lineRule="exact"/>
        <w:ind w:firstLine="3300" w:firstLineChars="750"/>
        <w:outlineLvl w:val="0"/>
        <w:rPr>
          <w:rStyle w:val="18"/>
          <w:rFonts w:ascii="黑体" w:hAnsi="黑体" w:eastAsia="黑体"/>
          <w:b w:val="0"/>
        </w:rPr>
      </w:pPr>
      <w:bookmarkStart w:id="60"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5"/>
      <w:bookmarkEnd w:id="60"/>
    </w:p>
    <w:p>
      <w:pPr>
        <w:spacing w:line="576" w:lineRule="exact"/>
        <w:jc w:val="center"/>
        <w:outlineLvl w:val="0"/>
        <w:rPr>
          <w:rFonts w:ascii="仿宋" w:hAnsi="仿宋" w:eastAsia="仿宋"/>
          <w:b/>
          <w:color w:val="000000"/>
          <w:sz w:val="44"/>
          <w:szCs w:val="44"/>
        </w:rPr>
      </w:pP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一、收入支出决算总表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二、收入决算表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三、支出决算表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四、财政拨款收入支出决算总表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五、财政拨款支出决算明细表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六、一般公共预算财政拨款支出决算表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七、一般公共预算财政拨款支出决算明细表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八、一般公共预算财政拨款基本支出决算表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九、一般公共预算财政拨款项目支出决算表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十、一般公共预算财政拨款“三公”经费支出决算表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十一、政府性基金预算财政拨款收入支出决算表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十二、政府性基金预算财政拨款“三公”经费支出决算表</w:t>
      </w:r>
    </w:p>
    <w:p>
      <w:pPr>
        <w:pStyle w:val="11"/>
        <w:adjustRightInd w:val="0"/>
        <w:snapToGrid w:val="0"/>
        <w:spacing w:line="640" w:lineRule="exact"/>
        <w:jc w:val="left"/>
        <w:rPr>
          <w:rFonts w:ascii="楷体_GB2312" w:hAnsi="仿宋" w:eastAsia="楷体_GB2312"/>
          <w:sz w:val="32"/>
          <w:szCs w:val="32"/>
        </w:rPr>
      </w:pPr>
      <w:r>
        <w:rPr>
          <w:rFonts w:hint="eastAsia" w:ascii="楷体_GB2312" w:hAnsi="仿宋" w:eastAsia="楷体_GB2312"/>
          <w:sz w:val="32"/>
          <w:szCs w:val="32"/>
        </w:rPr>
        <w:t>十三、国有资本经营预算财政拨款收入支出决算表</w:t>
      </w:r>
    </w:p>
    <w:p>
      <w:pPr>
        <w:pStyle w:val="11"/>
        <w:adjustRightInd w:val="0"/>
        <w:snapToGrid w:val="0"/>
        <w:spacing w:line="640" w:lineRule="exact"/>
        <w:jc w:val="left"/>
        <w:rPr>
          <w:rFonts w:ascii="仿宋" w:hAnsi="仿宋" w:eastAsia="仿宋"/>
          <w:sz w:val="32"/>
          <w:szCs w:val="32"/>
        </w:rPr>
      </w:pPr>
      <w:r>
        <w:rPr>
          <w:rFonts w:hint="eastAsia" w:ascii="楷体_GB2312" w:hAnsi="仿宋" w:eastAsia="楷体_GB2312"/>
          <w:sz w:val="32"/>
          <w:szCs w:val="32"/>
        </w:rPr>
        <w:t>十四、国有资本经营预算财政拨款支出决算表</w:t>
      </w:r>
    </w:p>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17F426B7"/>
    <w:multiLevelType w:val="multilevel"/>
    <w:tmpl w:val="17F426B7"/>
    <w:lvl w:ilvl="0" w:tentative="0">
      <w:start w:val="10"/>
      <w:numFmt w:val="japaneseCounting"/>
      <w:lvlText w:val="%1、"/>
      <w:lvlJc w:val="left"/>
      <w:pPr>
        <w:ind w:left="1430"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3">
    <w:nsid w:val="6DF477DD"/>
    <w:multiLevelType w:val="multilevel"/>
    <w:tmpl w:val="6DF477DD"/>
    <w:lvl w:ilvl="0" w:tentative="0">
      <w:start w:val="1"/>
      <w:numFmt w:val="japaneseCounting"/>
      <w:lvlText w:val="%1、"/>
      <w:lvlJc w:val="left"/>
      <w:pPr>
        <w:ind w:left="1360" w:hanging="720"/>
      </w:pPr>
      <w:rPr>
        <w:rFonts w:hint="default" w:cs="Times New Roman"/>
        <w:color w:val="00000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iY2IyOWJhYjhkNWFmNWE4ZTMzYzQwZGFhYmNhNDYifQ=="/>
  </w:docVars>
  <w:rsids>
    <w:rsidRoot w:val="00F1361C"/>
    <w:rsid w:val="0000074A"/>
    <w:rsid w:val="000222C6"/>
    <w:rsid w:val="00024417"/>
    <w:rsid w:val="0002549F"/>
    <w:rsid w:val="00033E99"/>
    <w:rsid w:val="00046116"/>
    <w:rsid w:val="00060D0C"/>
    <w:rsid w:val="0006487A"/>
    <w:rsid w:val="00065F8F"/>
    <w:rsid w:val="000768F2"/>
    <w:rsid w:val="000809C4"/>
    <w:rsid w:val="0009184B"/>
    <w:rsid w:val="0009593C"/>
    <w:rsid w:val="000B047F"/>
    <w:rsid w:val="000B5923"/>
    <w:rsid w:val="000B5A48"/>
    <w:rsid w:val="000B6FF3"/>
    <w:rsid w:val="000C3467"/>
    <w:rsid w:val="000C3CA6"/>
    <w:rsid w:val="000D1267"/>
    <w:rsid w:val="000D1D50"/>
    <w:rsid w:val="000D5782"/>
    <w:rsid w:val="000E05AC"/>
    <w:rsid w:val="000E6613"/>
    <w:rsid w:val="000E7119"/>
    <w:rsid w:val="000F30E5"/>
    <w:rsid w:val="00104678"/>
    <w:rsid w:val="00114E9B"/>
    <w:rsid w:val="00123DAB"/>
    <w:rsid w:val="00136866"/>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25D"/>
    <w:rsid w:val="002006CD"/>
    <w:rsid w:val="00202B36"/>
    <w:rsid w:val="00203B9F"/>
    <w:rsid w:val="00204B7A"/>
    <w:rsid w:val="0021101A"/>
    <w:rsid w:val="00220536"/>
    <w:rsid w:val="00221BB4"/>
    <w:rsid w:val="00227EBF"/>
    <w:rsid w:val="00235629"/>
    <w:rsid w:val="002516BD"/>
    <w:rsid w:val="00260C38"/>
    <w:rsid w:val="00260E1F"/>
    <w:rsid w:val="002616C0"/>
    <w:rsid w:val="00264ABF"/>
    <w:rsid w:val="00265EB3"/>
    <w:rsid w:val="002662AA"/>
    <w:rsid w:val="00280496"/>
    <w:rsid w:val="0028367E"/>
    <w:rsid w:val="00284C0F"/>
    <w:rsid w:val="00295495"/>
    <w:rsid w:val="002A7186"/>
    <w:rsid w:val="002B2613"/>
    <w:rsid w:val="002D6F3A"/>
    <w:rsid w:val="002E097A"/>
    <w:rsid w:val="002E3C23"/>
    <w:rsid w:val="002F1818"/>
    <w:rsid w:val="002F3768"/>
    <w:rsid w:val="002F567B"/>
    <w:rsid w:val="0031774B"/>
    <w:rsid w:val="003216A9"/>
    <w:rsid w:val="00327D59"/>
    <w:rsid w:val="00342017"/>
    <w:rsid w:val="0035069E"/>
    <w:rsid w:val="00362B49"/>
    <w:rsid w:val="0037013F"/>
    <w:rsid w:val="00380C92"/>
    <w:rsid w:val="00383C78"/>
    <w:rsid w:val="003A0694"/>
    <w:rsid w:val="003A484F"/>
    <w:rsid w:val="003A7BBA"/>
    <w:rsid w:val="003B0BE0"/>
    <w:rsid w:val="003B0C1B"/>
    <w:rsid w:val="003B688C"/>
    <w:rsid w:val="003C0291"/>
    <w:rsid w:val="003C39AE"/>
    <w:rsid w:val="003C7B60"/>
    <w:rsid w:val="003D10DE"/>
    <w:rsid w:val="003D1FB2"/>
    <w:rsid w:val="003D3C1A"/>
    <w:rsid w:val="003D66DA"/>
    <w:rsid w:val="003E1310"/>
    <w:rsid w:val="003E184A"/>
    <w:rsid w:val="003E6F55"/>
    <w:rsid w:val="00406254"/>
    <w:rsid w:val="004223DE"/>
    <w:rsid w:val="00434489"/>
    <w:rsid w:val="004364A4"/>
    <w:rsid w:val="00437085"/>
    <w:rsid w:val="004371E0"/>
    <w:rsid w:val="00443880"/>
    <w:rsid w:val="004464F4"/>
    <w:rsid w:val="00461154"/>
    <w:rsid w:val="00471401"/>
    <w:rsid w:val="00473F31"/>
    <w:rsid w:val="00475BAE"/>
    <w:rsid w:val="0048263A"/>
    <w:rsid w:val="00487E5D"/>
    <w:rsid w:val="00487EFB"/>
    <w:rsid w:val="004A0CCD"/>
    <w:rsid w:val="004A711F"/>
    <w:rsid w:val="004B199D"/>
    <w:rsid w:val="004B4690"/>
    <w:rsid w:val="004D7107"/>
    <w:rsid w:val="004E0A2D"/>
    <w:rsid w:val="004E206B"/>
    <w:rsid w:val="004E6DF7"/>
    <w:rsid w:val="004F0FBD"/>
    <w:rsid w:val="00504295"/>
    <w:rsid w:val="00505A47"/>
    <w:rsid w:val="00512FDA"/>
    <w:rsid w:val="00516518"/>
    <w:rsid w:val="00520DA0"/>
    <w:rsid w:val="0052351D"/>
    <w:rsid w:val="0054172E"/>
    <w:rsid w:val="00554960"/>
    <w:rsid w:val="005664BB"/>
    <w:rsid w:val="0057481D"/>
    <w:rsid w:val="00576CC8"/>
    <w:rsid w:val="005842FF"/>
    <w:rsid w:val="0058486E"/>
    <w:rsid w:val="005B321D"/>
    <w:rsid w:val="005B40E1"/>
    <w:rsid w:val="005D1C8B"/>
    <w:rsid w:val="005D5CED"/>
    <w:rsid w:val="005E22E1"/>
    <w:rsid w:val="005F1A4C"/>
    <w:rsid w:val="00605688"/>
    <w:rsid w:val="006070AF"/>
    <w:rsid w:val="00607C15"/>
    <w:rsid w:val="00607E6C"/>
    <w:rsid w:val="006101B1"/>
    <w:rsid w:val="00614D2B"/>
    <w:rsid w:val="00614E44"/>
    <w:rsid w:val="00622830"/>
    <w:rsid w:val="00622A08"/>
    <w:rsid w:val="00623C1E"/>
    <w:rsid w:val="00623CE0"/>
    <w:rsid w:val="00630AEF"/>
    <w:rsid w:val="006325F8"/>
    <w:rsid w:val="0063434E"/>
    <w:rsid w:val="00634C9A"/>
    <w:rsid w:val="006440E4"/>
    <w:rsid w:val="0066343B"/>
    <w:rsid w:val="00664777"/>
    <w:rsid w:val="006704C1"/>
    <w:rsid w:val="006748A4"/>
    <w:rsid w:val="00682CF0"/>
    <w:rsid w:val="00683E73"/>
    <w:rsid w:val="006903DC"/>
    <w:rsid w:val="006973F8"/>
    <w:rsid w:val="006A3141"/>
    <w:rsid w:val="006A5E34"/>
    <w:rsid w:val="006B2422"/>
    <w:rsid w:val="006B2B9A"/>
    <w:rsid w:val="006B5B50"/>
    <w:rsid w:val="006C1937"/>
    <w:rsid w:val="006E492A"/>
    <w:rsid w:val="006F020C"/>
    <w:rsid w:val="007023E5"/>
    <w:rsid w:val="00703F3F"/>
    <w:rsid w:val="007127B7"/>
    <w:rsid w:val="007137ED"/>
    <w:rsid w:val="00717AA0"/>
    <w:rsid w:val="007313A2"/>
    <w:rsid w:val="00733646"/>
    <w:rsid w:val="007416B6"/>
    <w:rsid w:val="00744CBD"/>
    <w:rsid w:val="00746F48"/>
    <w:rsid w:val="00747D14"/>
    <w:rsid w:val="0075404D"/>
    <w:rsid w:val="0076182A"/>
    <w:rsid w:val="00762117"/>
    <w:rsid w:val="00765433"/>
    <w:rsid w:val="00765BF3"/>
    <w:rsid w:val="00767B7E"/>
    <w:rsid w:val="007770C3"/>
    <w:rsid w:val="00784D24"/>
    <w:rsid w:val="00785FBA"/>
    <w:rsid w:val="00786283"/>
    <w:rsid w:val="00786E4A"/>
    <w:rsid w:val="007875EB"/>
    <w:rsid w:val="007920C9"/>
    <w:rsid w:val="00793682"/>
    <w:rsid w:val="0079426B"/>
    <w:rsid w:val="007C5DA8"/>
    <w:rsid w:val="007D312A"/>
    <w:rsid w:val="007D3F19"/>
    <w:rsid w:val="007E23B0"/>
    <w:rsid w:val="007F1991"/>
    <w:rsid w:val="007F2C2F"/>
    <w:rsid w:val="007F55FC"/>
    <w:rsid w:val="007F5665"/>
    <w:rsid w:val="00800112"/>
    <w:rsid w:val="008028EB"/>
    <w:rsid w:val="00805B24"/>
    <w:rsid w:val="008100F1"/>
    <w:rsid w:val="008253BB"/>
    <w:rsid w:val="0083706E"/>
    <w:rsid w:val="0084165A"/>
    <w:rsid w:val="008423A5"/>
    <w:rsid w:val="00843C47"/>
    <w:rsid w:val="00850625"/>
    <w:rsid w:val="00853718"/>
    <w:rsid w:val="00855221"/>
    <w:rsid w:val="00860645"/>
    <w:rsid w:val="0086091C"/>
    <w:rsid w:val="008658CB"/>
    <w:rsid w:val="00871F71"/>
    <w:rsid w:val="00885AF4"/>
    <w:rsid w:val="008939CD"/>
    <w:rsid w:val="008A6423"/>
    <w:rsid w:val="008B768C"/>
    <w:rsid w:val="008C4DB1"/>
    <w:rsid w:val="008C4EAF"/>
    <w:rsid w:val="008C5176"/>
    <w:rsid w:val="008C7FD0"/>
    <w:rsid w:val="008E1DE7"/>
    <w:rsid w:val="008E2814"/>
    <w:rsid w:val="008E707C"/>
    <w:rsid w:val="008F5729"/>
    <w:rsid w:val="0090091A"/>
    <w:rsid w:val="00900B08"/>
    <w:rsid w:val="00902155"/>
    <w:rsid w:val="00902FA3"/>
    <w:rsid w:val="00923564"/>
    <w:rsid w:val="0092392E"/>
    <w:rsid w:val="009315F9"/>
    <w:rsid w:val="009405C0"/>
    <w:rsid w:val="00946945"/>
    <w:rsid w:val="00951248"/>
    <w:rsid w:val="0095152F"/>
    <w:rsid w:val="009524A7"/>
    <w:rsid w:val="00954C49"/>
    <w:rsid w:val="009613ED"/>
    <w:rsid w:val="0097099F"/>
    <w:rsid w:val="00971997"/>
    <w:rsid w:val="00971FFC"/>
    <w:rsid w:val="00983B35"/>
    <w:rsid w:val="0098660A"/>
    <w:rsid w:val="009931C3"/>
    <w:rsid w:val="009B2C43"/>
    <w:rsid w:val="009B4EAE"/>
    <w:rsid w:val="009B7573"/>
    <w:rsid w:val="009C22F4"/>
    <w:rsid w:val="009C2E98"/>
    <w:rsid w:val="009D3447"/>
    <w:rsid w:val="009D4711"/>
    <w:rsid w:val="009D53EA"/>
    <w:rsid w:val="009F1185"/>
    <w:rsid w:val="009F18CD"/>
    <w:rsid w:val="009F2A13"/>
    <w:rsid w:val="00A04EB0"/>
    <w:rsid w:val="00A13CC1"/>
    <w:rsid w:val="00A14EDC"/>
    <w:rsid w:val="00A16847"/>
    <w:rsid w:val="00A237D8"/>
    <w:rsid w:val="00A268C4"/>
    <w:rsid w:val="00A3037A"/>
    <w:rsid w:val="00A307CD"/>
    <w:rsid w:val="00A40A00"/>
    <w:rsid w:val="00A4142F"/>
    <w:rsid w:val="00A50E93"/>
    <w:rsid w:val="00A56DF2"/>
    <w:rsid w:val="00A57AA8"/>
    <w:rsid w:val="00A67AB5"/>
    <w:rsid w:val="00A75673"/>
    <w:rsid w:val="00A778E4"/>
    <w:rsid w:val="00A86814"/>
    <w:rsid w:val="00A91760"/>
    <w:rsid w:val="00A93B00"/>
    <w:rsid w:val="00A93C21"/>
    <w:rsid w:val="00AA2C02"/>
    <w:rsid w:val="00AB4752"/>
    <w:rsid w:val="00AC3C6A"/>
    <w:rsid w:val="00AD0B02"/>
    <w:rsid w:val="00AD5620"/>
    <w:rsid w:val="00AD7C1B"/>
    <w:rsid w:val="00AE16BA"/>
    <w:rsid w:val="00AE1EBE"/>
    <w:rsid w:val="00AE713E"/>
    <w:rsid w:val="00B03C9D"/>
    <w:rsid w:val="00B060AE"/>
    <w:rsid w:val="00B10517"/>
    <w:rsid w:val="00B14E76"/>
    <w:rsid w:val="00B161B8"/>
    <w:rsid w:val="00B2048C"/>
    <w:rsid w:val="00B310B9"/>
    <w:rsid w:val="00B35F3F"/>
    <w:rsid w:val="00B36CBB"/>
    <w:rsid w:val="00B425E0"/>
    <w:rsid w:val="00B440AA"/>
    <w:rsid w:val="00B4436B"/>
    <w:rsid w:val="00B44B70"/>
    <w:rsid w:val="00B51E03"/>
    <w:rsid w:val="00B53C56"/>
    <w:rsid w:val="00B77EA6"/>
    <w:rsid w:val="00B81598"/>
    <w:rsid w:val="00B841F1"/>
    <w:rsid w:val="00B944D6"/>
    <w:rsid w:val="00B97175"/>
    <w:rsid w:val="00BB4DF0"/>
    <w:rsid w:val="00BC289F"/>
    <w:rsid w:val="00BC5361"/>
    <w:rsid w:val="00BC5460"/>
    <w:rsid w:val="00BC686A"/>
    <w:rsid w:val="00BC6B50"/>
    <w:rsid w:val="00BD0E25"/>
    <w:rsid w:val="00BF5BD6"/>
    <w:rsid w:val="00C03E31"/>
    <w:rsid w:val="00C24598"/>
    <w:rsid w:val="00C33E72"/>
    <w:rsid w:val="00C354B2"/>
    <w:rsid w:val="00C35554"/>
    <w:rsid w:val="00C42700"/>
    <w:rsid w:val="00C42709"/>
    <w:rsid w:val="00C467C1"/>
    <w:rsid w:val="00C533CC"/>
    <w:rsid w:val="00C5751C"/>
    <w:rsid w:val="00C61BFC"/>
    <w:rsid w:val="00C62B85"/>
    <w:rsid w:val="00C65438"/>
    <w:rsid w:val="00C83496"/>
    <w:rsid w:val="00C90E3C"/>
    <w:rsid w:val="00C91CBB"/>
    <w:rsid w:val="00C96A8E"/>
    <w:rsid w:val="00CA37AA"/>
    <w:rsid w:val="00CC09B6"/>
    <w:rsid w:val="00CC666F"/>
    <w:rsid w:val="00CD0DD1"/>
    <w:rsid w:val="00CD1E3F"/>
    <w:rsid w:val="00CD6BA1"/>
    <w:rsid w:val="00CD7E8E"/>
    <w:rsid w:val="00CE44F6"/>
    <w:rsid w:val="00CE49DA"/>
    <w:rsid w:val="00CE50F0"/>
    <w:rsid w:val="00CE7B61"/>
    <w:rsid w:val="00CF11B1"/>
    <w:rsid w:val="00D00095"/>
    <w:rsid w:val="00D00B7F"/>
    <w:rsid w:val="00D11960"/>
    <w:rsid w:val="00D20620"/>
    <w:rsid w:val="00D26091"/>
    <w:rsid w:val="00D31647"/>
    <w:rsid w:val="00D31B84"/>
    <w:rsid w:val="00D34E7C"/>
    <w:rsid w:val="00D35489"/>
    <w:rsid w:val="00D51276"/>
    <w:rsid w:val="00D66591"/>
    <w:rsid w:val="00D7035F"/>
    <w:rsid w:val="00D96C68"/>
    <w:rsid w:val="00DA008A"/>
    <w:rsid w:val="00DA65AC"/>
    <w:rsid w:val="00DB0301"/>
    <w:rsid w:val="00DB1913"/>
    <w:rsid w:val="00DC410D"/>
    <w:rsid w:val="00DC68CA"/>
    <w:rsid w:val="00DC7CBA"/>
    <w:rsid w:val="00DD20DF"/>
    <w:rsid w:val="00DD4CF8"/>
    <w:rsid w:val="00DD73B7"/>
    <w:rsid w:val="00DF28BC"/>
    <w:rsid w:val="00DF34B9"/>
    <w:rsid w:val="00E01053"/>
    <w:rsid w:val="00E07ACF"/>
    <w:rsid w:val="00E1299B"/>
    <w:rsid w:val="00E160F7"/>
    <w:rsid w:val="00E17FF5"/>
    <w:rsid w:val="00E331A1"/>
    <w:rsid w:val="00E33202"/>
    <w:rsid w:val="00E336A9"/>
    <w:rsid w:val="00E50624"/>
    <w:rsid w:val="00E568DF"/>
    <w:rsid w:val="00E64269"/>
    <w:rsid w:val="00E67964"/>
    <w:rsid w:val="00E82267"/>
    <w:rsid w:val="00E92AC7"/>
    <w:rsid w:val="00EA010F"/>
    <w:rsid w:val="00EA0E3A"/>
    <w:rsid w:val="00EA283A"/>
    <w:rsid w:val="00EB28FE"/>
    <w:rsid w:val="00EC505B"/>
    <w:rsid w:val="00ED1B63"/>
    <w:rsid w:val="00ED3C1F"/>
    <w:rsid w:val="00ED4085"/>
    <w:rsid w:val="00ED420E"/>
    <w:rsid w:val="00EE2F57"/>
    <w:rsid w:val="00EF0ED6"/>
    <w:rsid w:val="00EF4C34"/>
    <w:rsid w:val="00EF77C6"/>
    <w:rsid w:val="00F05438"/>
    <w:rsid w:val="00F1361C"/>
    <w:rsid w:val="00F160C7"/>
    <w:rsid w:val="00F234CE"/>
    <w:rsid w:val="00F24611"/>
    <w:rsid w:val="00F265A9"/>
    <w:rsid w:val="00F36D8F"/>
    <w:rsid w:val="00F417B1"/>
    <w:rsid w:val="00F602DF"/>
    <w:rsid w:val="00F62801"/>
    <w:rsid w:val="00F70F2C"/>
    <w:rsid w:val="00F72DF9"/>
    <w:rsid w:val="00F749A6"/>
    <w:rsid w:val="00F81FD9"/>
    <w:rsid w:val="00F841AA"/>
    <w:rsid w:val="00F92D14"/>
    <w:rsid w:val="00FA23E8"/>
    <w:rsid w:val="00FC5C60"/>
    <w:rsid w:val="00FD2D13"/>
    <w:rsid w:val="00FD3CC1"/>
    <w:rsid w:val="00FF1E02"/>
    <w:rsid w:val="00FF30B4"/>
    <w:rsid w:val="02286A98"/>
    <w:rsid w:val="022A7A34"/>
    <w:rsid w:val="06304629"/>
    <w:rsid w:val="096A66C3"/>
    <w:rsid w:val="0BE161B0"/>
    <w:rsid w:val="10C055FF"/>
    <w:rsid w:val="116B5811"/>
    <w:rsid w:val="12CD7BDC"/>
    <w:rsid w:val="16BB723D"/>
    <w:rsid w:val="1CC72AA7"/>
    <w:rsid w:val="1EA6529A"/>
    <w:rsid w:val="240371BF"/>
    <w:rsid w:val="26831116"/>
    <w:rsid w:val="29FD04D3"/>
    <w:rsid w:val="2C2A47D6"/>
    <w:rsid w:val="319F7F4E"/>
    <w:rsid w:val="35BD608E"/>
    <w:rsid w:val="364F7747"/>
    <w:rsid w:val="39714D14"/>
    <w:rsid w:val="3A0F7AE8"/>
    <w:rsid w:val="3E4A4BB0"/>
    <w:rsid w:val="3F5BE064"/>
    <w:rsid w:val="43C9779E"/>
    <w:rsid w:val="488C1E64"/>
    <w:rsid w:val="4B130BE0"/>
    <w:rsid w:val="4DB05D45"/>
    <w:rsid w:val="4E810C66"/>
    <w:rsid w:val="50195141"/>
    <w:rsid w:val="5FC731A0"/>
    <w:rsid w:val="61371F77"/>
    <w:rsid w:val="613F3705"/>
    <w:rsid w:val="62641FFC"/>
    <w:rsid w:val="66B47E7B"/>
    <w:rsid w:val="67FFCFB2"/>
    <w:rsid w:val="689855E3"/>
    <w:rsid w:val="6A172741"/>
    <w:rsid w:val="75384BFC"/>
    <w:rsid w:val="79BA2D0C"/>
    <w:rsid w:val="7CFFE1B6"/>
    <w:rsid w:val="BACCC57F"/>
    <w:rsid w:val="F9FE3C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0"/>
    <w:pPr>
      <w:jc w:val="left"/>
    </w:pPr>
    <w:rPr>
      <w:rFonts w:eastAsia="仿宋_GB2312"/>
      <w:kern w:val="0"/>
      <w:sz w:val="24"/>
      <w:szCs w:val="32"/>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标题 2 Char"/>
    <w:basedOn w:val="14"/>
    <w:link w:val="3"/>
    <w:qFormat/>
    <w:locked/>
    <w:uiPriority w:val="99"/>
    <w:rPr>
      <w:rFonts w:ascii="Cambria" w:hAnsi="Cambria" w:eastAsia="宋体" w:cs="Times New Roman"/>
      <w:b/>
      <w:bCs/>
      <w:kern w:val="2"/>
      <w:sz w:val="32"/>
      <w:szCs w:val="32"/>
    </w:rPr>
  </w:style>
  <w:style w:type="character" w:customStyle="1" w:styleId="18">
    <w:name w:val="标题 1 Char"/>
    <w:basedOn w:val="14"/>
    <w:link w:val="2"/>
    <w:qFormat/>
    <w:locked/>
    <w:uiPriority w:val="99"/>
    <w:rPr>
      <w:rFonts w:ascii="Times New Roman" w:hAnsi="Times New Roman" w:cs="Times New Roman"/>
      <w:b/>
      <w:bCs/>
      <w:kern w:val="44"/>
      <w:sz w:val="44"/>
      <w:szCs w:val="44"/>
    </w:rPr>
  </w:style>
  <w:style w:type="character" w:customStyle="1" w:styleId="19">
    <w:name w:val="标题 3 Char"/>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uiPriority w:val="99"/>
    <w:rPr>
      <w:rFonts w:ascii="Times New Roman" w:hAnsi="Times New Roman" w:cs="Times New Roman"/>
      <w:sz w:val="24"/>
      <w:szCs w:val="24"/>
    </w:rPr>
  </w:style>
  <w:style w:type="character" w:customStyle="1" w:styleId="21">
    <w:name w:val="批注框文本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页眉 Char"/>
    <w:link w:val="9"/>
    <w:semiHidden/>
    <w:qFormat/>
    <w:locked/>
    <w:uiPriority w:val="99"/>
    <w:rPr>
      <w:sz w:val="18"/>
    </w:rPr>
  </w:style>
  <w:style w:type="character" w:customStyle="1" w:styleId="25">
    <w:name w:val="页脚 Char"/>
    <w:link w:val="8"/>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9892</Words>
  <Characters>10407</Characters>
  <Lines>77</Lines>
  <Paragraphs>21</Paragraphs>
  <TotalTime>4</TotalTime>
  <ScaleCrop>false</ScaleCrop>
  <LinksUpToDate>false</LinksUpToDate>
  <CharactersWithSpaces>10434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2022-08-31T16:34:00Z</dcterms:created>
  <dc:creator>张彬茜</dc:creator>
  <cp:lastModifiedBy>dell</cp:lastModifiedBy>
  <cp:lastPrinted>2021-08-25T10:03:00Z</cp:lastPrinted>
  <dcterms:modified xsi:type="dcterms:W3CDTF">2023-09-04T03:08:29Z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E08AA431749E492D913017223CCF463C</vt:lpwstr>
  </property>
</Properties>
</file>