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jc w:val="center"/>
        <w:outlineLvl w:val="0"/>
        <w:rPr>
          <w:rFonts w:ascii="方正小标宋简体" w:hAnsi="宋体" w:eastAsia="方正小标宋简体"/>
          <w:b/>
          <w:color w:val="000000"/>
          <w:sz w:val="72"/>
          <w:szCs w:val="72"/>
        </w:rPr>
      </w:pPr>
      <w:bookmarkStart w:id="1" w:name="_Toc15377425"/>
      <w:bookmarkStart w:id="2" w:name="_Toc15396475"/>
      <w:bookmarkStart w:id="3" w:name="_Toc15378441"/>
      <w:bookmarkStart w:id="4" w:name="_Toc15396597"/>
      <w:bookmarkStart w:id="5" w:name="_Toc15377193"/>
      <w:r>
        <w:rPr>
          <w:rFonts w:hint="eastAsia" w:ascii="方正小标宋简体" w:hAnsi="黑体" w:eastAsia="方正小标宋简体"/>
          <w:b/>
          <w:color w:val="000000"/>
          <w:sz w:val="72"/>
          <w:szCs w:val="72"/>
        </w:rPr>
        <w:t>2019</w:t>
      </w:r>
      <w:r>
        <w:rPr>
          <w:rFonts w:hint="eastAsia" w:ascii="方正小标宋简体" w:hAnsi="宋体" w:eastAsia="方正小标宋简体"/>
          <w:b/>
          <w:color w:val="000000"/>
          <w:sz w:val="72"/>
          <w:szCs w:val="72"/>
        </w:rPr>
        <w:t>年度</w:t>
      </w:r>
      <w:bookmarkEnd w:id="1"/>
      <w:bookmarkEnd w:id="2"/>
      <w:bookmarkEnd w:id="3"/>
      <w:bookmarkEnd w:id="4"/>
      <w:bookmarkEnd w:id="5"/>
    </w:p>
    <w:p>
      <w:pPr>
        <w:adjustRightInd w:val="0"/>
        <w:snapToGrid w:val="0"/>
        <w:jc w:val="center"/>
        <w:outlineLvl w:val="0"/>
        <w:rPr>
          <w:rFonts w:ascii="方正小标宋简体" w:hAnsi="宋体" w:eastAsia="方正小标宋简体"/>
          <w:b/>
          <w:color w:val="000000"/>
          <w:sz w:val="72"/>
          <w:szCs w:val="72"/>
        </w:rPr>
      </w:pPr>
      <w:bookmarkStart w:id="6" w:name="_Toc15377426"/>
      <w:bookmarkStart w:id="7" w:name="_Toc15396598"/>
      <w:bookmarkStart w:id="8" w:name="_Toc15378442"/>
      <w:bookmarkStart w:id="9" w:name="_Toc15396476"/>
      <w:bookmarkStart w:id="10" w:name="_Toc15377194"/>
      <w:r>
        <w:rPr>
          <w:rFonts w:hint="eastAsia" w:ascii="方正小标宋简体" w:hAnsi="宋体" w:eastAsia="方正小标宋简体"/>
          <w:b/>
          <w:color w:val="000000"/>
          <w:sz w:val="72"/>
          <w:szCs w:val="72"/>
        </w:rPr>
        <w:t>南江县</w:t>
      </w:r>
      <w:bookmarkEnd w:id="0"/>
      <w:bookmarkStart w:id="11" w:name="_Toc15306268"/>
      <w:r>
        <w:rPr>
          <w:rFonts w:hint="eastAsia" w:ascii="方正小标宋简体" w:hAnsi="宋体" w:eastAsia="方正小标宋简体"/>
          <w:b/>
          <w:color w:val="000000"/>
          <w:sz w:val="72"/>
          <w:szCs w:val="72"/>
        </w:rPr>
        <w:t>部门决算</w:t>
      </w:r>
      <w:bookmarkEnd w:id="6"/>
      <w:bookmarkEnd w:id="7"/>
      <w:bookmarkEnd w:id="8"/>
      <w:bookmarkEnd w:id="9"/>
      <w:bookmarkEnd w:id="10"/>
      <w:bookmarkEnd w:id="11"/>
      <w:r>
        <w:rPr>
          <w:rFonts w:hint="eastAsia" w:ascii="方正小标宋简体" w:hAnsi="宋体" w:eastAsia="方正小标宋简体"/>
          <w:b/>
          <w:color w:val="000000"/>
          <w:sz w:val="72"/>
          <w:szCs w:val="72"/>
        </w:rPr>
        <w:t>编制说明</w:t>
      </w:r>
    </w:p>
    <w:p>
      <w:pPr>
        <w:adjustRightInd w:val="0"/>
        <w:snapToGrid w:val="0"/>
        <w:spacing w:line="360" w:lineRule="auto"/>
        <w:jc w:val="center"/>
        <w:outlineLvl w:val="0"/>
        <w:rPr>
          <w:rFonts w:ascii="方正小标宋简体" w:hAnsi="宋体" w:eastAsia="方正小标宋简体"/>
          <w:b/>
          <w:color w:val="000000"/>
          <w:sz w:val="52"/>
          <w:szCs w:val="52"/>
        </w:rPr>
      </w:pPr>
    </w:p>
    <w:p>
      <w:pPr>
        <w:adjustRightInd w:val="0"/>
        <w:snapToGrid w:val="0"/>
        <w:spacing w:line="360" w:lineRule="auto"/>
        <w:jc w:val="center"/>
        <w:outlineLvl w:val="0"/>
        <w:rPr>
          <w:rFonts w:ascii="方正小标宋简体" w:hAnsi="宋体" w:eastAsia="方正小标宋简体"/>
          <w:b/>
          <w:color w:val="000000"/>
          <w:sz w:val="52"/>
          <w:szCs w:val="52"/>
        </w:rPr>
      </w:pPr>
    </w:p>
    <w:p>
      <w:pPr>
        <w:adjustRightInd w:val="0"/>
        <w:snapToGrid w:val="0"/>
        <w:spacing w:line="360" w:lineRule="auto"/>
        <w:jc w:val="center"/>
        <w:outlineLvl w:val="0"/>
        <w:rPr>
          <w:rFonts w:ascii="方正小标宋简体" w:hAnsi="宋体" w:eastAsia="方正小标宋简体"/>
          <w:b/>
          <w:color w:val="000000"/>
          <w:sz w:val="52"/>
          <w:szCs w:val="52"/>
        </w:rPr>
      </w:pPr>
    </w:p>
    <w:p>
      <w:pPr>
        <w:adjustRightInd w:val="0"/>
        <w:snapToGrid w:val="0"/>
        <w:spacing w:line="360" w:lineRule="auto"/>
        <w:jc w:val="center"/>
        <w:outlineLvl w:val="0"/>
        <w:rPr>
          <w:rFonts w:ascii="方正小标宋简体" w:hAnsi="宋体" w:eastAsia="方正小标宋简体"/>
          <w:b/>
          <w:color w:val="000000"/>
          <w:sz w:val="52"/>
          <w:szCs w:val="52"/>
        </w:rPr>
      </w:pPr>
    </w:p>
    <w:p>
      <w:pPr>
        <w:adjustRightInd w:val="0"/>
        <w:snapToGrid w:val="0"/>
        <w:spacing w:line="360" w:lineRule="auto"/>
        <w:jc w:val="center"/>
        <w:outlineLvl w:val="0"/>
        <w:rPr>
          <w:rFonts w:ascii="方正小标宋简体" w:hAnsi="宋体" w:eastAsia="方正小标宋简体"/>
          <w:b/>
          <w:color w:val="000000"/>
          <w:sz w:val="52"/>
          <w:szCs w:val="52"/>
        </w:rPr>
      </w:pPr>
    </w:p>
    <w:p>
      <w:pPr>
        <w:adjustRightInd w:val="0"/>
        <w:snapToGrid w:val="0"/>
        <w:spacing w:line="360" w:lineRule="auto"/>
        <w:jc w:val="center"/>
        <w:outlineLvl w:val="0"/>
        <w:rPr>
          <w:rFonts w:ascii="方正小标宋简体" w:hAnsi="宋体" w:eastAsia="方正小标宋简体"/>
          <w:b/>
          <w:color w:val="000000"/>
          <w:sz w:val="52"/>
          <w:szCs w:val="52"/>
        </w:rPr>
      </w:pPr>
      <w:r>
        <w:rPr>
          <w:rFonts w:hint="eastAsia" w:ascii="方正小标宋简体" w:hAnsi="宋体" w:eastAsia="方正小标宋简体"/>
          <w:b/>
          <w:color w:val="000000"/>
          <w:sz w:val="52"/>
          <w:szCs w:val="52"/>
        </w:rPr>
        <w:t>南江县道路运输管理局</w:t>
      </w:r>
    </w:p>
    <w:p>
      <w:pPr>
        <w:widowControl/>
        <w:jc w:val="center"/>
        <w:rPr>
          <w:rStyle w:val="24"/>
          <w:rFonts w:ascii="黑体" w:hAnsi="黑体" w:eastAsia="黑体"/>
          <w:b w:val="0"/>
        </w:rPr>
      </w:pPr>
      <w:r>
        <w:rPr>
          <w:rFonts w:ascii="方正小标宋简体" w:hAnsi="宋体" w:eastAsia="方正小标宋简体"/>
          <w:color w:val="000000"/>
          <w:sz w:val="36"/>
          <w:szCs w:val="36"/>
        </w:rPr>
        <w:br w:type="page"/>
      </w:r>
      <w:bookmarkStart w:id="12" w:name="_Toc15396599"/>
      <w:bookmarkStart w:id="13" w:name="_Toc15377196"/>
      <w:r>
        <w:rPr>
          <w:rFonts w:hint="eastAsia" w:ascii="黑体" w:hAnsi="黑体" w:eastAsia="黑体"/>
          <w:sz w:val="44"/>
          <w:szCs w:val="44"/>
        </w:rPr>
        <w:t xml:space="preserve">第一部分 </w:t>
      </w:r>
      <w:r>
        <w:rPr>
          <w:rStyle w:val="24"/>
          <w:rFonts w:hint="eastAsia" w:ascii="黑体" w:hAnsi="黑体" w:eastAsia="黑体"/>
          <w:b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bookmarkStart w:id="18" w:name="_Toc15377199"/>
      <w:bookmarkStart w:id="19" w:name="_Toc15378446"/>
      <w:r>
        <w:rPr>
          <w:rFonts w:hint="eastAsia" w:ascii="仿宋" w:hAnsi="仿宋" w:eastAsia="仿宋"/>
          <w:bCs/>
          <w:color w:val="000000"/>
          <w:sz w:val="32"/>
          <w:szCs w:val="32"/>
        </w:rPr>
        <w:t>负责本区行政区域内实施道路运输管理工作的法规授权道路运输管理机构。负责维护道路运输市场秩序、保障道路运输安全、保护道路运输有关各方面当事人的合法权益，促进道路运输事业的健康发展，对从事道路旅客运输经营、道路货物运输经营、道路运输相关业务包括站（场）经营、机动车维修经营、机动车驾驶员等培训工作进行行业管理，是担负行政管理职能的副科级参照公务员管理全民所有制单位，归口南江县交通运输局领导管理。</w:t>
      </w:r>
    </w:p>
    <w:p>
      <w:pPr>
        <w:adjustRightInd w:val="0"/>
        <w:snapToGrid w:val="0"/>
        <w:spacing w:line="550" w:lineRule="exact"/>
        <w:ind w:firstLine="640" w:firstLineChars="200"/>
        <w:rPr>
          <w:rFonts w:ascii="仿宋_GB2312" w:eastAsia="仿宋_GB2312"/>
          <w:snapToGrid w:val="0"/>
          <w:color w:val="000000"/>
          <w:kern w:val="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r>
        <w:rPr>
          <w:rFonts w:hint="eastAsia" w:ascii="仿宋_GB2312" w:hAnsi="宋体" w:eastAsia="仿宋_GB2312" w:cs="宋体"/>
          <w:b/>
          <w:snapToGrid w:val="0"/>
          <w:color w:val="000000"/>
          <w:kern w:val="0"/>
          <w:sz w:val="32"/>
          <w:szCs w:val="32"/>
        </w:rPr>
        <w:t>一是</w:t>
      </w:r>
      <w:r>
        <w:rPr>
          <w:rFonts w:hint="eastAsia" w:ascii="仿宋_GB2312" w:hAnsi="宋体" w:eastAsia="仿宋_GB2312" w:cs="宋体"/>
          <w:snapToGrid w:val="0"/>
          <w:color w:val="000000"/>
          <w:kern w:val="0"/>
          <w:sz w:val="32"/>
          <w:szCs w:val="32"/>
        </w:rPr>
        <w:t>督促城西客运站对设施设备继续完善，达到旅游集散中心标准；</w:t>
      </w:r>
      <w:r>
        <w:rPr>
          <w:rFonts w:hint="eastAsia" w:ascii="仿宋_GB2312" w:hAnsi="宋体" w:eastAsia="仿宋_GB2312" w:cs="宋体"/>
          <w:b/>
          <w:snapToGrid w:val="0"/>
          <w:color w:val="000000"/>
          <w:kern w:val="0"/>
          <w:sz w:val="32"/>
          <w:szCs w:val="32"/>
        </w:rPr>
        <w:t>二是</w:t>
      </w:r>
      <w:r>
        <w:rPr>
          <w:rFonts w:hint="eastAsia" w:ascii="仿宋_GB2312" w:hAnsi="宋体" w:eastAsia="仿宋_GB2312" w:cs="宋体"/>
          <w:snapToGrid w:val="0"/>
          <w:color w:val="000000"/>
          <w:kern w:val="0"/>
          <w:sz w:val="32"/>
          <w:szCs w:val="32"/>
        </w:rPr>
        <w:t>新建1个、改建5个汽车客运站厕所</w:t>
      </w:r>
      <w:r>
        <w:rPr>
          <w:rFonts w:hint="eastAsia" w:ascii="仿宋" w:hAnsi="仿宋" w:eastAsia="仿宋"/>
          <w:sz w:val="32"/>
          <w:szCs w:val="32"/>
        </w:rPr>
        <w:t>革命工程</w:t>
      </w:r>
      <w:r>
        <w:rPr>
          <w:rFonts w:hint="eastAsia" w:ascii="仿宋_GB2312" w:hAnsi="宋体" w:eastAsia="仿宋_GB2312" w:cs="宋体"/>
          <w:snapToGrid w:val="0"/>
          <w:color w:val="000000"/>
          <w:kern w:val="0"/>
          <w:sz w:val="32"/>
          <w:szCs w:val="32"/>
        </w:rPr>
        <w:t>（石滩、沙河、红光、长赤、下两、大河客运站厕所</w:t>
      </w:r>
      <w:r>
        <w:rPr>
          <w:rFonts w:hint="eastAsia" w:ascii="仿宋" w:hAnsi="仿宋" w:eastAsia="仿宋"/>
          <w:sz w:val="32"/>
          <w:szCs w:val="32"/>
        </w:rPr>
        <w:t>）</w:t>
      </w:r>
      <w:r>
        <w:rPr>
          <w:rFonts w:hint="eastAsia" w:ascii="仿宋_GB2312" w:hAnsi="宋体" w:eastAsia="仿宋_GB2312" w:cs="宋体"/>
          <w:snapToGrid w:val="0"/>
          <w:color w:val="000000"/>
          <w:kern w:val="0"/>
          <w:sz w:val="32"/>
          <w:szCs w:val="32"/>
        </w:rPr>
        <w:t>;</w:t>
      </w:r>
      <w:r>
        <w:rPr>
          <w:rFonts w:hint="eastAsia" w:ascii="仿宋_GB2312" w:hAnsi="宋体" w:eastAsia="仿宋_GB2312" w:cs="宋体"/>
          <w:b/>
          <w:snapToGrid w:val="0"/>
          <w:color w:val="000000"/>
          <w:kern w:val="0"/>
          <w:sz w:val="32"/>
          <w:szCs w:val="32"/>
        </w:rPr>
        <w:t>三是</w:t>
      </w:r>
      <w:r>
        <w:rPr>
          <w:rFonts w:hint="eastAsia" w:ascii="仿宋_GB2312" w:hAnsi="宋体" w:eastAsia="仿宋_GB2312" w:cs="宋体"/>
          <w:snapToGrid w:val="0"/>
          <w:color w:val="000000"/>
          <w:kern w:val="0"/>
          <w:sz w:val="32"/>
          <w:szCs w:val="32"/>
        </w:rPr>
        <w:t>完成</w:t>
      </w:r>
      <w:r>
        <w:rPr>
          <w:rFonts w:hint="eastAsia" w:ascii="仿宋" w:hAnsi="仿宋" w:eastAsia="仿宋"/>
          <w:sz w:val="32"/>
          <w:szCs w:val="32"/>
        </w:rPr>
        <w:t>34个村级招呼站（牌）建设</w:t>
      </w:r>
      <w:r>
        <w:rPr>
          <w:rFonts w:hint="eastAsia" w:ascii="仿宋_GB2312" w:hAnsi="宋体" w:eastAsia="仿宋_GB2312" w:cs="宋体"/>
          <w:snapToGrid w:val="0"/>
          <w:color w:val="000000"/>
          <w:kern w:val="0"/>
          <w:sz w:val="32"/>
          <w:szCs w:val="32"/>
        </w:rPr>
        <w:t>；</w:t>
      </w:r>
      <w:r>
        <w:rPr>
          <w:rFonts w:hint="eastAsia" w:ascii="仿宋_GB2312" w:hAnsi="宋体" w:eastAsia="仿宋_GB2312" w:cs="宋体"/>
          <w:b/>
          <w:snapToGrid w:val="0"/>
          <w:color w:val="000000"/>
          <w:kern w:val="0"/>
          <w:sz w:val="32"/>
          <w:szCs w:val="32"/>
        </w:rPr>
        <w:t>四是</w:t>
      </w:r>
      <w:r>
        <w:rPr>
          <w:rFonts w:hint="eastAsia" w:ascii="仿宋_GB2312" w:hAnsi="宋体" w:eastAsia="仿宋_GB2312" w:cs="宋体"/>
          <w:snapToGrid w:val="0"/>
          <w:color w:val="000000"/>
          <w:kern w:val="0"/>
          <w:sz w:val="32"/>
          <w:szCs w:val="32"/>
        </w:rPr>
        <w:t>加快客运班车村村通工程，我</w:t>
      </w:r>
      <w:r>
        <w:rPr>
          <w:rFonts w:hint="eastAsia" w:ascii="仿宋_GB2312" w:eastAsia="仿宋_GB2312"/>
          <w:snapToGrid w:val="0"/>
          <w:color w:val="000000"/>
          <w:kern w:val="0"/>
          <w:sz w:val="32"/>
          <w:szCs w:val="32"/>
        </w:rPr>
        <w:t>县共计522个行政村，其中已开通农村客运班线的有</w:t>
      </w:r>
      <w:r>
        <w:rPr>
          <w:rFonts w:hint="eastAsia" w:ascii="仿宋_GB2312" w:eastAsia="仿宋_GB2312"/>
          <w:snapToGrid w:val="0"/>
          <w:kern w:val="0"/>
          <w:sz w:val="32"/>
          <w:szCs w:val="32"/>
        </w:rPr>
        <w:t>502</w:t>
      </w:r>
      <w:r>
        <w:rPr>
          <w:rFonts w:hint="eastAsia" w:ascii="仿宋_GB2312" w:eastAsia="仿宋_GB2312"/>
          <w:snapToGrid w:val="0"/>
          <w:color w:val="000000"/>
          <w:kern w:val="0"/>
          <w:sz w:val="32"/>
          <w:szCs w:val="32"/>
        </w:rPr>
        <w:t>个，通车率为</w:t>
      </w:r>
      <w:r>
        <w:rPr>
          <w:rFonts w:hint="eastAsia" w:ascii="仿宋_GB2312" w:eastAsia="仿宋_GB2312"/>
          <w:snapToGrid w:val="0"/>
          <w:color w:val="000000" w:themeColor="text1"/>
          <w:kern w:val="0"/>
          <w:sz w:val="32"/>
          <w:szCs w:val="32"/>
        </w:rPr>
        <w:t>96.9%</w:t>
      </w:r>
      <w:r>
        <w:rPr>
          <w:rFonts w:hint="eastAsia" w:ascii="仿宋_GB2312" w:eastAsia="仿宋_GB2312"/>
          <w:snapToGrid w:val="0"/>
          <w:color w:val="000000"/>
          <w:kern w:val="0"/>
          <w:sz w:val="32"/>
          <w:szCs w:val="32"/>
        </w:rPr>
        <w:t>，通车里程为</w:t>
      </w:r>
      <w:r>
        <w:rPr>
          <w:rFonts w:hint="eastAsia" w:ascii="仿宋_GB2312" w:eastAsia="仿宋_GB2312"/>
          <w:snapToGrid w:val="0"/>
          <w:color w:val="000000" w:themeColor="text1"/>
          <w:kern w:val="0"/>
          <w:sz w:val="32"/>
          <w:szCs w:val="32"/>
        </w:rPr>
        <w:t>1052公</w:t>
      </w:r>
      <w:r>
        <w:rPr>
          <w:rFonts w:hint="eastAsia" w:ascii="仿宋_GB2312" w:eastAsia="仿宋_GB2312"/>
          <w:snapToGrid w:val="0"/>
          <w:color w:val="000000"/>
          <w:kern w:val="0"/>
          <w:sz w:val="32"/>
          <w:szCs w:val="32"/>
        </w:rPr>
        <w:t>里，运行车辆</w:t>
      </w:r>
      <w:r>
        <w:rPr>
          <w:rFonts w:hint="eastAsia" w:ascii="仿宋_GB2312" w:eastAsia="仿宋_GB2312"/>
          <w:snapToGrid w:val="0"/>
          <w:color w:val="000000" w:themeColor="text1"/>
          <w:kern w:val="0"/>
          <w:sz w:val="32"/>
          <w:szCs w:val="32"/>
        </w:rPr>
        <w:t>506</w:t>
      </w:r>
      <w:r>
        <w:rPr>
          <w:rFonts w:hint="eastAsia" w:ascii="仿宋_GB2312" w:eastAsia="仿宋_GB2312"/>
          <w:snapToGrid w:val="0"/>
          <w:color w:val="000000"/>
          <w:kern w:val="0"/>
          <w:sz w:val="32"/>
          <w:szCs w:val="32"/>
        </w:rPr>
        <w:t>辆，座位数</w:t>
      </w:r>
      <w:r>
        <w:rPr>
          <w:rFonts w:hint="eastAsia" w:ascii="仿宋_GB2312" w:eastAsia="仿宋_GB2312"/>
          <w:snapToGrid w:val="0"/>
          <w:color w:val="000000" w:themeColor="text1"/>
          <w:kern w:val="0"/>
          <w:sz w:val="32"/>
          <w:szCs w:val="32"/>
        </w:rPr>
        <w:t>4760</w:t>
      </w:r>
      <w:r>
        <w:rPr>
          <w:rFonts w:hint="eastAsia" w:ascii="仿宋_GB2312" w:eastAsia="仿宋_GB2312"/>
          <w:snapToGrid w:val="0"/>
          <w:color w:val="000000"/>
          <w:kern w:val="0"/>
          <w:sz w:val="32"/>
          <w:szCs w:val="32"/>
        </w:rPr>
        <w:t>座；</w:t>
      </w:r>
      <w:r>
        <w:rPr>
          <w:rFonts w:hint="eastAsia" w:ascii="仿宋_GB2312" w:eastAsia="仿宋_GB2312"/>
          <w:b/>
          <w:snapToGrid w:val="0"/>
          <w:color w:val="000000"/>
          <w:kern w:val="0"/>
          <w:sz w:val="32"/>
          <w:szCs w:val="32"/>
        </w:rPr>
        <w:t>四是</w:t>
      </w:r>
      <w:r>
        <w:rPr>
          <w:rFonts w:hint="eastAsia" w:ascii="仿宋_GB2312" w:eastAsia="仿宋_GB2312"/>
          <w:snapToGrid w:val="0"/>
          <w:color w:val="000000"/>
          <w:kern w:val="0"/>
          <w:sz w:val="32"/>
          <w:szCs w:val="32"/>
        </w:rPr>
        <w:t>加大企业培育，</w:t>
      </w:r>
      <w:r>
        <w:rPr>
          <w:rFonts w:hint="eastAsia" w:ascii="仿宋_GB2312" w:hAnsi="宋体" w:eastAsia="仿宋_GB2312" w:cs="宋体"/>
          <w:snapToGrid w:val="0"/>
          <w:color w:val="000000"/>
          <w:kern w:val="0"/>
          <w:sz w:val="32"/>
          <w:szCs w:val="32"/>
        </w:rPr>
        <w:t>积极推进物流发展（重点培育了南江县天成商贸物流限公司），对我县快递公司、小件物流进行了全面规范整治，以正直、长赤客运站为依托有效整合资源发展农村物流，目前该项工作强力推进中。</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p>
    <w:p>
      <w:pPr>
        <w:pStyle w:val="3"/>
        <w:rPr>
          <w:rStyle w:val="25"/>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rPr>
        <w:t>南江县道路运输管理局属于南江县交通运输局的下属二级单位，单位性质为参照公务员法管理的事业单位。下设行政办公室、财务统计股、行政审批股、车管维管股、法规股、安全稽查股、站点建设股、驾培管理股、城市客运管理办公室、货运股、驻站管理办公室2个，片区稽查队4个。</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Style w:val="24"/>
          <w:rFonts w:hint="eastAsia" w:ascii="黑体" w:hAnsi="黑体" w:eastAsia="黑体"/>
          <w:b w:val="0"/>
          <w:bCs w:val="0"/>
        </w:rPr>
        <w:t>2019年度部门决算情况说明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2019年度收、支总计1505.60万元。与2018年相比，收、支总计各减少184.76万元，下降11</w:t>
      </w:r>
      <w:r>
        <w:rPr>
          <w:rFonts w:ascii="仿宋" w:hAnsi="仿宋" w:eastAsia="仿宋"/>
          <w:color w:val="000000"/>
          <w:sz w:val="32"/>
          <w:szCs w:val="32"/>
        </w:rPr>
        <w:t>%</w:t>
      </w:r>
      <w:r>
        <w:rPr>
          <w:rFonts w:hint="eastAsia" w:ascii="仿宋" w:hAnsi="仿宋" w:eastAsia="仿宋"/>
          <w:color w:val="000000"/>
          <w:sz w:val="32"/>
          <w:szCs w:val="32"/>
        </w:rPr>
        <w:t>。主要变动原因是2019年燃油补贴资金减少。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59264" behindDoc="0" locked="0" layoutInCell="1" allowOverlap="1">
            <wp:simplePos x="0" y="0"/>
            <wp:positionH relativeFrom="column">
              <wp:posOffset>423545</wp:posOffset>
            </wp:positionH>
            <wp:positionV relativeFrom="paragraph">
              <wp:posOffset>901065</wp:posOffset>
            </wp:positionV>
            <wp:extent cx="4542790" cy="2867025"/>
            <wp:effectExtent l="4445" t="4445" r="5715" b="508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600" w:lineRule="exact"/>
        <w:ind w:firstLine="640" w:firstLineChars="200"/>
        <w:jc w:val="left"/>
        <w:rPr>
          <w:rFonts w:ascii="仿宋_GB2312" w:eastAsia="仿宋_GB2312"/>
          <w:color w:val="00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年本年收入合计1505.60万元，其中：一般公共预算财政拨款收入1505.60万元，占100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0288" behindDoc="0" locked="0" layoutInCell="1" allowOverlap="1">
            <wp:simplePos x="0" y="0"/>
            <wp:positionH relativeFrom="column">
              <wp:posOffset>476250</wp:posOffset>
            </wp:positionH>
            <wp:positionV relativeFrom="paragraph">
              <wp:posOffset>352425</wp:posOffset>
            </wp:positionV>
            <wp:extent cx="3800475" cy="2486025"/>
            <wp:effectExtent l="19050" t="0" r="9525" b="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640" w:firstLineChars="200"/>
        <w:rPr>
          <w:rFonts w:ascii="仿宋_GB2312" w:eastAsia="仿宋_GB2312"/>
          <w:color w:val="FF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年本年支出合计1505.60万元，其中：基本支出772.93万元，占51</w:t>
      </w:r>
      <w:r>
        <w:rPr>
          <w:rFonts w:ascii="仿宋" w:hAnsi="仿宋" w:eastAsia="仿宋"/>
          <w:color w:val="000000"/>
          <w:sz w:val="32"/>
          <w:szCs w:val="32"/>
        </w:rPr>
        <w:t>%</w:t>
      </w:r>
      <w:r>
        <w:rPr>
          <w:rFonts w:hint="eastAsia" w:ascii="仿宋" w:hAnsi="仿宋" w:eastAsia="仿宋"/>
          <w:color w:val="000000"/>
          <w:sz w:val="32"/>
          <w:szCs w:val="32"/>
        </w:rPr>
        <w:t>；项目支出732.67万元，占49</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1312" behindDoc="0" locked="0" layoutInCell="1" allowOverlap="1">
            <wp:simplePos x="0" y="0"/>
            <wp:positionH relativeFrom="column">
              <wp:posOffset>523875</wp:posOffset>
            </wp:positionH>
            <wp:positionV relativeFrom="paragraph">
              <wp:posOffset>19050</wp:posOffset>
            </wp:positionV>
            <wp:extent cx="3571875" cy="1638300"/>
            <wp:effectExtent l="19050" t="0" r="9525" b="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年财政拨款收、支总计1505.60万元。与</w:t>
      </w:r>
      <w:r>
        <w:rPr>
          <w:rFonts w:ascii="仿宋" w:hAnsi="仿宋" w:eastAsia="仿宋"/>
          <w:color w:val="000000"/>
          <w:sz w:val="32"/>
          <w:szCs w:val="32"/>
        </w:rPr>
        <w:t>2018</w:t>
      </w:r>
      <w:r>
        <w:rPr>
          <w:rFonts w:hint="eastAsia" w:ascii="仿宋" w:hAnsi="仿宋" w:eastAsia="仿宋"/>
          <w:color w:val="000000"/>
          <w:sz w:val="32"/>
          <w:szCs w:val="32"/>
        </w:rPr>
        <w:t>年相比，财政拨款收、支总计各减少184.76万元，下降11</w:t>
      </w:r>
      <w:r>
        <w:rPr>
          <w:rFonts w:ascii="仿宋" w:hAnsi="仿宋" w:eastAsia="仿宋"/>
          <w:color w:val="000000"/>
          <w:sz w:val="32"/>
          <w:szCs w:val="32"/>
        </w:rPr>
        <w:t>%</w:t>
      </w:r>
      <w:r>
        <w:rPr>
          <w:rFonts w:hint="eastAsia" w:ascii="仿宋" w:hAnsi="仿宋" w:eastAsia="仿宋"/>
          <w:color w:val="000000"/>
          <w:sz w:val="32"/>
          <w:szCs w:val="32"/>
        </w:rPr>
        <w:t>。主要变动原因是2019年燃油补贴资金减少。</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2336" behindDoc="0" locked="0" layoutInCell="1" allowOverlap="1">
            <wp:simplePos x="0" y="0"/>
            <wp:positionH relativeFrom="column">
              <wp:posOffset>361950</wp:posOffset>
            </wp:positionH>
            <wp:positionV relativeFrom="paragraph">
              <wp:posOffset>161925</wp:posOffset>
            </wp:positionV>
            <wp:extent cx="4714875" cy="2914650"/>
            <wp:effectExtent l="19050" t="0" r="9525" b="0"/>
            <wp:wrapSquare wrapText="bothSides"/>
            <wp:docPr id="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w:t>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    财政拨款收、支决算总计变动情况）（柱状图）</w:t>
      </w: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年一般公共预算财政拨款支出1505.60万元，占本年支出合计的100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2018</w:t>
      </w:r>
      <w:r>
        <w:rPr>
          <w:rFonts w:hint="eastAsia" w:ascii="仿宋" w:hAnsi="仿宋" w:eastAsia="仿宋"/>
          <w:color w:val="000000"/>
          <w:sz w:val="32"/>
          <w:szCs w:val="32"/>
        </w:rPr>
        <w:t>年相比，一般公共预算财政拨款减少184.76万元，下降11</w:t>
      </w:r>
      <w:r>
        <w:rPr>
          <w:rFonts w:ascii="仿宋" w:hAnsi="仿宋" w:eastAsia="仿宋"/>
          <w:color w:val="000000"/>
          <w:sz w:val="32"/>
          <w:szCs w:val="32"/>
        </w:rPr>
        <w:t>%</w:t>
      </w:r>
      <w:r>
        <w:rPr>
          <w:rFonts w:hint="eastAsia" w:ascii="仿宋" w:hAnsi="仿宋" w:eastAsia="仿宋"/>
          <w:color w:val="000000"/>
          <w:sz w:val="32"/>
          <w:szCs w:val="32"/>
        </w:rPr>
        <w:t>。主要变动原因是2019年燃油补贴资金减少。</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3360" behindDoc="0" locked="0" layoutInCell="1" allowOverlap="1">
            <wp:simplePos x="0" y="0"/>
            <wp:positionH relativeFrom="column">
              <wp:posOffset>514350</wp:posOffset>
            </wp:positionH>
            <wp:positionV relativeFrom="paragraph">
              <wp:posOffset>76200</wp:posOffset>
            </wp:positionV>
            <wp:extent cx="3924300" cy="2286000"/>
            <wp:effectExtent l="19050" t="0" r="19050" b="0"/>
            <wp:wrapSquare wrapText="bothSides"/>
            <wp:docPr id="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hint="eastAsia" w:ascii="仿宋" w:hAnsi="仿宋" w:eastAsia="仿宋"/>
          <w:color w:val="000000" w:themeColor="text1"/>
          <w:sz w:val="32"/>
          <w:szCs w:val="32"/>
        </w:rPr>
      </w:pPr>
    </w:p>
    <w:p>
      <w:pPr>
        <w:spacing w:line="600" w:lineRule="exact"/>
        <w:rPr>
          <w:rFonts w:hint="eastAsia" w:ascii="仿宋" w:hAnsi="仿宋" w:eastAsia="仿宋"/>
          <w:color w:val="000000" w:themeColor="text1"/>
          <w:sz w:val="32"/>
          <w:szCs w:val="32"/>
        </w:rPr>
      </w:pPr>
    </w:p>
    <w:p>
      <w:pPr>
        <w:spacing w:line="600" w:lineRule="exact"/>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eastAsia" w:ascii="仿宋" w:hAnsi="仿宋" w:eastAsia="仿宋"/>
          <w:color w:val="000000" w:themeColor="text1"/>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rPr>
        <w:t>政拨款支出1505.60万元，主要用于以下方面</w:t>
      </w:r>
      <w:r>
        <w:rPr>
          <w:rFonts w:ascii="仿宋" w:hAnsi="仿宋" w:eastAsia="仿宋"/>
          <w:color w:val="000000" w:themeColor="text1"/>
          <w:sz w:val="32"/>
          <w:szCs w:val="32"/>
        </w:rPr>
        <w:t>:</w:t>
      </w:r>
      <w:r>
        <w:rPr>
          <w:rFonts w:hint="eastAsia" w:ascii="仿宋" w:hAnsi="仿宋" w:eastAsia="仿宋"/>
          <w:color w:val="000000" w:themeColor="text1"/>
          <w:sz w:val="32"/>
          <w:szCs w:val="32"/>
        </w:rPr>
        <w:t>社会保障和就业支出81.24万元，占5.40</w:t>
      </w:r>
      <w:r>
        <w:rPr>
          <w:rFonts w:ascii="仿宋" w:hAnsi="仿宋" w:eastAsia="仿宋"/>
          <w:color w:val="000000" w:themeColor="text1"/>
          <w:sz w:val="32"/>
          <w:szCs w:val="32"/>
        </w:rPr>
        <w:t>%</w:t>
      </w:r>
      <w:r>
        <w:rPr>
          <w:rFonts w:hint="eastAsia" w:ascii="仿宋" w:hAnsi="仿宋" w:eastAsia="仿宋"/>
          <w:color w:val="000000" w:themeColor="text1"/>
          <w:sz w:val="32"/>
          <w:szCs w:val="32"/>
        </w:rPr>
        <w:t>；卫生健康支出37.10万元，占2.50</w:t>
      </w:r>
      <w:r>
        <w:rPr>
          <w:rFonts w:ascii="仿宋" w:hAnsi="仿宋" w:eastAsia="仿宋"/>
          <w:color w:val="000000" w:themeColor="text1"/>
          <w:sz w:val="32"/>
          <w:szCs w:val="32"/>
        </w:rPr>
        <w:t>%</w:t>
      </w:r>
      <w:r>
        <w:rPr>
          <w:rFonts w:hint="eastAsia" w:ascii="仿宋" w:hAnsi="仿宋" w:eastAsia="仿宋"/>
          <w:color w:val="000000" w:themeColor="text1"/>
          <w:sz w:val="32"/>
          <w:szCs w:val="32"/>
        </w:rPr>
        <w:t>；节能环保支出89万元，占5.90%；住房保障支出39.51万元，占2.60</w:t>
      </w:r>
      <w:r>
        <w:rPr>
          <w:rFonts w:ascii="仿宋" w:hAnsi="仿宋" w:eastAsia="仿宋"/>
          <w:color w:val="000000" w:themeColor="text1"/>
          <w:sz w:val="32"/>
          <w:szCs w:val="32"/>
        </w:rPr>
        <w:t>%</w:t>
      </w:r>
      <w:r>
        <w:rPr>
          <w:rFonts w:hint="eastAsia" w:ascii="仿宋" w:hAnsi="仿宋" w:eastAsia="仿宋"/>
          <w:color w:val="000000" w:themeColor="text1"/>
          <w:sz w:val="32"/>
          <w:szCs w:val="32"/>
        </w:rPr>
        <w:t>；交通运输支出1258.75万元，占83.60%。</w:t>
      </w:r>
      <w:r>
        <w:rPr>
          <w:rFonts w:ascii="仿宋" w:hAnsi="仿宋" w:eastAsia="仿宋"/>
          <w:color w:val="000000" w:themeColor="text1"/>
          <w:sz w:val="32"/>
          <w:szCs w:val="32"/>
        </w:rPr>
        <w:t xml:space="preserve"> </w:t>
      </w:r>
    </w:p>
    <w:p>
      <w:pPr>
        <w:spacing w:line="600" w:lineRule="exact"/>
        <w:ind w:firstLine="640"/>
        <w:rPr>
          <w:rFonts w:ascii="仿宋" w:hAnsi="仿宋" w:eastAsia="仿宋"/>
          <w:color w:val="000000"/>
          <w:sz w:val="32"/>
          <w:szCs w:val="32"/>
        </w:rPr>
      </w:pPr>
      <w:r>
        <w:rPr>
          <w:rFonts w:hint="eastAsia" w:ascii="仿宋" w:hAnsi="仿宋" w:eastAsia="仿宋"/>
          <w:color w:val="000000" w:themeColor="text1"/>
          <w:sz w:val="32"/>
          <w:szCs w:val="32"/>
        </w:rPr>
        <w:drawing>
          <wp:anchor distT="0" distB="0" distL="114300" distR="114300" simplePos="0" relativeHeight="251664384" behindDoc="0" locked="0" layoutInCell="1" allowOverlap="1">
            <wp:simplePos x="0" y="0"/>
            <wp:positionH relativeFrom="column">
              <wp:posOffset>209550</wp:posOffset>
            </wp:positionH>
            <wp:positionV relativeFrom="paragraph">
              <wp:posOffset>161925</wp:posOffset>
            </wp:positionV>
            <wp:extent cx="5080000" cy="2525395"/>
            <wp:effectExtent l="19050" t="0" r="25400" b="8255"/>
            <wp:wrapSquare wrapText="bothSides"/>
            <wp:docPr id="2"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8460"/>
      <w:bookmarkStart w:id="39" w:name="_Toc15377444"/>
      <w:r>
        <w:rPr>
          <w:rFonts w:hint="eastAsia" w:ascii="仿宋" w:hAnsi="仿宋" w:eastAsia="仿宋"/>
          <w:b/>
          <w:color w:val="000000" w:themeColor="text1"/>
          <w:sz w:val="32"/>
          <w:szCs w:val="32"/>
        </w:rPr>
        <w:t>2019年一般公共预算支出决算数为1505.60</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社会保障和就业支出</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支出决算为81.24万元，完成预算100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卫生健康支出</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支出决算为37.10万元，完成预算100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交通运输支出</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支出决算为1258.75万元，完成预算100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住房保障支出</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支出决算为39.51万元，完成预算100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5</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节能环保支出</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支出决算为89万元，完成预算100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tabs>
          <w:tab w:val="right" w:pos="8306"/>
        </w:tabs>
        <w:spacing w:line="600" w:lineRule="exact"/>
        <w:ind w:firstLine="64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年一般公共预算财政拨款基本支出772.93万元，其中：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655.44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117.49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年“三公”经费财政拨款支出决算为5.60万元，完成预算93</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，决算数小于预算数的主要原因是2019年我单位厉行节约，公务接待费较以前年度减少。</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；公务用车购置及运行维护费支出决算5万元，占89</w:t>
      </w:r>
      <w:r>
        <w:rPr>
          <w:rFonts w:ascii="仿宋" w:hAnsi="仿宋" w:eastAsia="仿宋"/>
          <w:color w:val="000000"/>
          <w:sz w:val="32"/>
          <w:szCs w:val="32"/>
        </w:rPr>
        <w:t>%</w:t>
      </w:r>
      <w:r>
        <w:rPr>
          <w:rFonts w:hint="eastAsia" w:ascii="仿宋" w:hAnsi="仿宋" w:eastAsia="仿宋"/>
          <w:color w:val="000000"/>
          <w:sz w:val="32"/>
          <w:szCs w:val="32"/>
        </w:rPr>
        <w:t>；公务接待费支出决算0.6万元，占11</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5408" behindDoc="0" locked="0" layoutInCell="1" allowOverlap="1">
            <wp:simplePos x="0" y="0"/>
            <wp:positionH relativeFrom="column">
              <wp:posOffset>381000</wp:posOffset>
            </wp:positionH>
            <wp:positionV relativeFrom="paragraph">
              <wp:posOffset>47625</wp:posOffset>
            </wp:positionV>
            <wp:extent cx="5080000" cy="2057400"/>
            <wp:effectExtent l="19050" t="0" r="25400" b="0"/>
            <wp:wrapSquare wrapText="bothSides"/>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5万元,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公务用车购置及运行维护费支出决算与</w:t>
      </w:r>
      <w:r>
        <w:rPr>
          <w:rFonts w:ascii="仿宋_GB2312" w:eastAsia="仿宋_GB2312"/>
          <w:color w:val="000000"/>
          <w:sz w:val="32"/>
          <w:szCs w:val="32"/>
        </w:rPr>
        <w:t>2018</w:t>
      </w:r>
      <w:r>
        <w:rPr>
          <w:rFonts w:hint="eastAsia" w:ascii="仿宋_GB2312" w:eastAsia="仿宋_GB2312"/>
          <w:color w:val="000000"/>
          <w:sz w:val="32"/>
          <w:szCs w:val="32"/>
        </w:rPr>
        <w:t>年持平。</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5万元。主要用于交通执法所需的公务用车燃料费、维修费、过路过桥费、保险费等支出。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0.6万元，</w:t>
      </w:r>
      <w:r>
        <w:rPr>
          <w:rStyle w:val="14"/>
          <w:rFonts w:hint="eastAsia" w:ascii="仿宋" w:hAnsi="仿宋" w:eastAsia="仿宋"/>
          <w:b w:val="0"/>
          <w:bCs/>
          <w:color w:val="000000"/>
          <w:sz w:val="32"/>
          <w:szCs w:val="32"/>
        </w:rPr>
        <w:t>完成预算60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2018</w:t>
      </w:r>
      <w:r>
        <w:rPr>
          <w:rFonts w:hint="eastAsia" w:ascii="仿宋_GB2312" w:eastAsia="仿宋_GB2312"/>
          <w:color w:val="000000"/>
          <w:sz w:val="32"/>
          <w:szCs w:val="32"/>
        </w:rPr>
        <w:t>年增加0.075万元，增长14</w:t>
      </w:r>
      <w:r>
        <w:rPr>
          <w:rFonts w:ascii="仿宋_GB2312" w:eastAsia="仿宋_GB2312"/>
          <w:color w:val="000000"/>
          <w:sz w:val="32"/>
          <w:szCs w:val="32"/>
        </w:rPr>
        <w:t>%</w:t>
      </w:r>
      <w:r>
        <w:rPr>
          <w:rFonts w:hint="eastAsia" w:ascii="仿宋_GB2312" w:eastAsia="仿宋_GB2312"/>
          <w:color w:val="000000"/>
          <w:sz w:val="32"/>
          <w:szCs w:val="32"/>
        </w:rPr>
        <w:t>。主要原因是2019年比2018年接待事项多。</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5批次，45人次（不包括陪同人员），共计支出0.6万元，具体内容包括：1、接待市运管局来我县督查汽车客运站安全，支出2000元；2、接待省运管局、市运管局来我县调研重点场站建设，支出1950元；3、接待四好农村验收组路创建一行，支出2050元。其中：</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p>
    <w:p>
      <w:pPr>
        <w:spacing w:line="600" w:lineRule="exact"/>
        <w:ind w:firstLine="640"/>
        <w:outlineLvl w:val="1"/>
        <w:rPr>
          <w:rStyle w:val="25"/>
          <w:rFonts w:ascii="黑体" w:hAnsi="黑体" w:eastAsia="黑体"/>
        </w:rPr>
      </w:pPr>
      <w:bookmarkStart w:id="46" w:name="_Toc15377218"/>
      <w:bookmarkStart w:id="47" w:name="_Toc15396610"/>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年政府性基金预算拨款支出0万元。</w:t>
      </w:r>
    </w:p>
    <w:p>
      <w:pPr>
        <w:numPr>
          <w:ilvl w:val="0"/>
          <w:numId w:val="2"/>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年国有资本经营预算拨款支出0万元。</w:t>
      </w:r>
    </w:p>
    <w:p>
      <w:pPr>
        <w:pStyle w:val="23"/>
        <w:numPr>
          <w:ilvl w:val="0"/>
          <w:numId w:val="3"/>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道路运输安全执法办案经费项目开展了预算事前绩效评估，编制了绩效目标，预算执行过程中开展绩效监控，年终执行完毕后，对其开展了绩效目标完成情况梳理填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本部门按要求对2019年部门整体支出开展绩效自评，从评价情况来看，总体执行较好，</w:t>
      </w:r>
      <w:r>
        <w:rPr>
          <w:rFonts w:hint="eastAsia" w:ascii="仿宋" w:hAnsi="仿宋" w:eastAsia="仿宋" w:cs="仿宋_GB2312"/>
          <w:sz w:val="32"/>
          <w:szCs w:val="32"/>
        </w:rPr>
        <w:t>各项工作取得了较大成绩，较好的完成了年度工作目标</w:t>
      </w:r>
      <w:r>
        <w:rPr>
          <w:rFonts w:hint="eastAsia" w:ascii="仿宋_GB2312" w:hAnsi="仿宋_GB2312" w:eastAsia="仿宋_GB2312" w:cs="仿宋_GB2312"/>
          <w:sz w:val="32"/>
          <w:szCs w:val="32"/>
        </w:rPr>
        <w:t>。</w:t>
      </w:r>
    </w:p>
    <w:p>
      <w:p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本部门在2019年度部门决算中反映“道路运输安全执法办案经费”1个项目绩效目标实际完成情况。</w:t>
      </w:r>
    </w:p>
    <w:p>
      <w:pPr>
        <w:numPr>
          <w:ilvl w:val="0"/>
          <w:numId w:val="5"/>
        </w:numPr>
        <w:spacing w:line="580" w:lineRule="exact"/>
        <w:ind w:firstLine="640" w:firstLineChars="200"/>
        <w:rPr>
          <w:rFonts w:ascii="仿宋_GB2312" w:hAnsi="仿宋_GB2312" w:eastAsia="仿宋_GB2312" w:cs="仿宋_GB2312"/>
          <w:b/>
          <w:sz w:val="32"/>
          <w:szCs w:val="32"/>
          <w:lang w:val="zh-CN"/>
        </w:rPr>
      </w:pPr>
      <w:r>
        <w:rPr>
          <w:rFonts w:hint="eastAsia" w:ascii="仿宋_GB2312" w:hAnsi="仿宋_GB2312" w:eastAsia="仿宋_GB2312" w:cs="仿宋_GB2312"/>
          <w:sz w:val="32"/>
          <w:szCs w:val="32"/>
        </w:rPr>
        <w:t>道路运输安全执法办案经费项目绩效目标完成情况综述。项目全年预算数27.075万元，执行数为27.075万元，完成预算的100%。通过项目实施，保障我局执法办案工作的正常运转，发现的主要问题：</w:t>
      </w:r>
      <w:r>
        <w:rPr>
          <w:rFonts w:hint="eastAsia" w:ascii="仿宋_GB2312" w:hAnsi="仿宋_GB2312" w:eastAsia="仿宋_GB2312" w:cs="仿宋_GB2312"/>
          <w:bCs/>
          <w:sz w:val="32"/>
          <w:szCs w:val="32"/>
          <w:lang w:val="zh-CN"/>
        </w:rPr>
        <w:t>从我局在项目开展过程、结果来看，我局均完成年初设定的绩效目标值，未发现相关问题；从资金使用情况看，由于我县财政本身较为紧张，执法经费保障不足，加剧了交通执法难度。</w:t>
      </w:r>
    </w:p>
    <w:p>
      <w:pPr>
        <w:tabs>
          <w:tab w:val="left" w:pos="312"/>
        </w:tabs>
        <w:spacing w:line="580" w:lineRule="exact"/>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下一步改进措施及建议：（1）进一步加强督导，确保目顺利实施。加强相关执法培训，不断提高队伍综合素质，进一步提升执法队伍的战斗力。同时加强电子信息化执法力度，加大执法创新力度，提高执法效率，大大提高绩效目标。（2）县财政应加大对我局交通执法办案经费的投入力度，以保障我局执法办案工作正常开展。</w:t>
      </w:r>
    </w:p>
    <w:p>
      <w:pPr>
        <w:tabs>
          <w:tab w:val="left" w:pos="312"/>
        </w:tabs>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hint="eastAsia" w:ascii="黑体" w:hAnsi="黑体" w:eastAsia="黑体" w:cs="宋体"/>
                <w:bCs/>
                <w:color w:val="000000"/>
                <w:kern w:val="0"/>
                <w:sz w:val="36"/>
                <w:szCs w:val="36"/>
              </w:rPr>
            </w:pPr>
            <w:r>
              <w:rPr>
                <w:rFonts w:hint="eastAsia" w:ascii="黑体" w:hAnsi="黑体" w:eastAsia="黑体" w:cs="宋体"/>
                <w:bCs/>
                <w:color w:val="000000"/>
                <w:kern w:val="0"/>
                <w:sz w:val="36"/>
                <w:szCs w:val="36"/>
              </w:rPr>
              <w:t>项目支出绩效目标完成情况表</w:t>
            </w:r>
          </w:p>
          <w:p>
            <w:pPr>
              <w:pStyle w:val="23"/>
              <w:widowControl/>
              <w:ind w:left="4176" w:leftChars="1740" w:hanging="522" w:hangingChars="145"/>
              <w:textAlignment w:val="center"/>
              <w:rPr>
                <w:rFonts w:ascii="宋体" w:hAnsi="宋体" w:cs="宋体"/>
                <w:color w:val="000000"/>
                <w:sz w:val="36"/>
                <w:szCs w:val="36"/>
              </w:rPr>
            </w:pP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道路运输安全执法办案经费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南江县道路运输管理局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27.075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27.075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27.075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27.075</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维护道路运输市场的秩序与稳定；保障县域内道路的运输安全；进一步保障人民群众出行时的人身、财产安全。完成非税收入（罚没收入）</w:t>
            </w:r>
          </w:p>
          <w:p>
            <w:pPr>
              <w:widowControl/>
              <w:jc w:val="left"/>
              <w:textAlignment w:val="center"/>
              <w:rPr>
                <w:rFonts w:ascii="宋体" w:hAnsi="宋体" w:cs="宋体"/>
                <w:color w:val="000000"/>
                <w:sz w:val="24"/>
              </w:rPr>
            </w:pPr>
            <w:r>
              <w:rPr>
                <w:rFonts w:hint="eastAsia" w:ascii="宋体" w:hAnsi="宋体" w:cs="宋体"/>
                <w:color w:val="000000"/>
                <w:sz w:val="24"/>
              </w:rPr>
              <w:t>115万元。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2019年我县道路运输市场保持健康稳定发展，人民群众对客运市场的满意度提升；全年完成罚没收入53.92万元。</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全年完成非税收入115万元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115万元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53.92万元</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县财政划拨项目资金27.075万元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27.075万元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27.075万元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客运市场营运环境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道路运输企业满意度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w:t>
            </w:r>
          </w:p>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社会公众满意度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本部门按要求对2019年部门整体支出绩效评价情况开展自评，《南江县道路运输管理局2019年部门整体支出绩效评价报告》见附件。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本部门自行组织对道路运输安全执法办案经费项目开展了绩效评价，《南江县道路运输管理局道路运输安全执法办案经费项目2019年绩效评价报告》见附件。</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2019</w:t>
      </w:r>
      <w:r>
        <w:rPr>
          <w:rFonts w:hint="eastAsia" w:ascii="仿宋_GB2312" w:eastAsia="仿宋_GB2312"/>
          <w:color w:val="000000"/>
          <w:sz w:val="32"/>
          <w:szCs w:val="32"/>
        </w:rPr>
        <w:t>年，南江县道路运输管理局机关运行经费支出117.49万元，比</w:t>
      </w:r>
      <w:r>
        <w:rPr>
          <w:rFonts w:ascii="仿宋_GB2312" w:eastAsia="仿宋_GB2312"/>
          <w:color w:val="000000"/>
          <w:sz w:val="32"/>
          <w:szCs w:val="32"/>
        </w:rPr>
        <w:t>2018</w:t>
      </w:r>
      <w:r>
        <w:rPr>
          <w:rFonts w:hint="eastAsia" w:ascii="仿宋_GB2312" w:eastAsia="仿宋_GB2312"/>
          <w:color w:val="000000"/>
          <w:sz w:val="32"/>
          <w:szCs w:val="32"/>
        </w:rPr>
        <w:t>年增加4.67万元，增长4</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主要原因是收到县交通运输局的拨款。</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年，南江县道路运输管理局政府采购支出总额0万元与2018年持平。</w:t>
      </w:r>
    </w:p>
    <w:p>
      <w:pPr>
        <w:autoSpaceDE w:val="0"/>
        <w:autoSpaceDN w:val="0"/>
        <w:adjustRightInd w:val="0"/>
        <w:spacing w:line="600" w:lineRule="exact"/>
        <w:ind w:firstLine="643" w:firstLineChars="200"/>
        <w:jc w:val="left"/>
        <w:outlineLvl w:val="2"/>
        <w:rPr>
          <w:rFonts w:hint="eastAsia"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日，南江县道路运输管理局共有车辆1辆，属于一般执法执勤用车；</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widowControl/>
        <w:jc w:val="left"/>
        <w:rPr>
          <w:rStyle w:val="24"/>
          <w:rFonts w:ascii="黑体" w:hAnsi="黑体" w:eastAsia="黑体"/>
          <w:b w:val="0"/>
        </w:rPr>
      </w:pPr>
      <w:r>
        <w:rPr>
          <w:rFonts w:ascii="仿宋_GB2312" w:eastAsia="仿宋_GB2312"/>
          <w:b/>
          <w:color w:val="000000"/>
          <w:sz w:val="32"/>
          <w:szCs w:val="32"/>
        </w:rPr>
        <w:br w:type="page"/>
      </w:r>
      <w:bookmarkStart w:id="55" w:name="_Toc15396613"/>
      <w:bookmarkStart w:id="56"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ind w:firstLine="640" w:firstLineChars="200"/>
        <w:rPr>
          <w:rFonts w:ascii="仿宋_GB2312" w:hAnsi="仿宋_GB2312" w:eastAsia="仿宋_GB2312" w:cs="仿宋_GB2312"/>
          <w:sz w:val="32"/>
          <w:szCs w:val="32"/>
        </w:rPr>
      </w:pPr>
      <w:bookmarkStart w:id="57" w:name="_Toc15377226"/>
      <w:r>
        <w:rPr>
          <w:rFonts w:hint="eastAsia" w:ascii="仿宋_GB2312" w:hAnsi="仿宋_GB2312" w:eastAsia="仿宋_GB2312" w:cs="仿宋_GB2312"/>
          <w:sz w:val="32"/>
          <w:szCs w:val="32"/>
        </w:rPr>
        <w:t>2.行政单位离退休：归口管理的行政单位离退休指实行归口管理的机关及参照公务员法管理事业单位用于离退休人员的支出。未归口管理的行政单位离退休指未实行归口管理的机关及参照公务员法管理事业单位用于离退休人员的支出。</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3.事业单位离退休：指实行归口管理的事业单位用于离退休人员的支出。</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4.机关事业单位基本养老保险缴费：指部门实施养老保险制度由单位缴纳的养老保险费的支出。</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5.行政单位医疗：指机关及参照公务员法管理事业单位用于缴纳单位基本医疗保险支出。</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6.事业单位医疗：指事业单位用于缴纳单位基本医疗保险支出。</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7.公务员医疗补助：指机关及参公管理事业单位用于集中缴纳公务员医疗补助支出。</w:t>
      </w:r>
    </w:p>
    <w:p>
      <w:pPr>
        <w:spacing w:line="600" w:lineRule="exac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8</w:t>
      </w:r>
      <w:r>
        <w:rPr>
          <w:rFonts w:ascii="仿宋_GB2312" w:hAnsi="Calibri" w:eastAsia="仿宋_GB2312" w:cs="仿宋"/>
          <w:color w:val="000000"/>
          <w:kern w:val="0"/>
          <w:sz w:val="32"/>
          <w:szCs w:val="32"/>
        </w:rPr>
        <w:t>.</w:t>
      </w:r>
      <w:r>
        <w:rPr>
          <w:rFonts w:hint="eastAsia" w:ascii="仿宋_GB2312" w:hAnsi="Calibri" w:eastAsia="仿宋_GB2312" w:cs="仿宋"/>
          <w:color w:val="000000"/>
          <w:kern w:val="0"/>
          <w:sz w:val="32"/>
          <w:szCs w:val="32"/>
        </w:rPr>
        <w:t>年初结转和结余：指以前年度尚未完成、结转到本年按有关规定继续使用的资金。</w:t>
      </w:r>
    </w:p>
    <w:p>
      <w:pPr>
        <w:spacing w:line="600" w:lineRule="exac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9</w:t>
      </w:r>
      <w:r>
        <w:rPr>
          <w:rFonts w:ascii="仿宋_GB2312" w:hAnsi="Calibri" w:eastAsia="仿宋_GB2312" w:cs="仿宋"/>
          <w:color w:val="000000"/>
          <w:kern w:val="0"/>
          <w:sz w:val="32"/>
          <w:szCs w:val="32"/>
        </w:rPr>
        <w:t>.</w:t>
      </w:r>
      <w:r>
        <w:rPr>
          <w:rFonts w:hint="eastAsia" w:ascii="仿宋_GB2312" w:hAnsi="Calibri" w:eastAsia="仿宋_GB2312" w:cs="仿宋"/>
          <w:color w:val="000000"/>
          <w:kern w:val="0"/>
          <w:sz w:val="32"/>
          <w:szCs w:val="32"/>
        </w:rPr>
        <w:t>结余分配：指事业单位按照事业单位会计制度的规定从非财政补助结余中分配的事业基金和职工福利基金等。</w:t>
      </w:r>
    </w:p>
    <w:p>
      <w:pPr>
        <w:spacing w:line="600" w:lineRule="exac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10.社会保障和就业支出：指用于社会保障和就业方面的支出，包括保障机构正常运转、完成日常和特定的工作任务或事业发展目标的支出。归口管理的行政单位离退休，指离退休人员管理机构统一管理的机关离退休人员的经费。</w:t>
      </w:r>
    </w:p>
    <w:p>
      <w:pPr>
        <w:spacing w:line="600" w:lineRule="exac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11.交通运输支出：指用于交通运输和邮政业方面的支出，包括保障机构正常运转、完成日常和特定的工作任务或事业发展目标的支出。</w:t>
      </w:r>
    </w:p>
    <w:p>
      <w:pPr>
        <w:spacing w:line="600" w:lineRule="exac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12.住房保障支出：指按照《住房公积金管理条例》和其他相关规定，由单位及其在职职工以职工工资为缴存基数，分别按照一定比例缴存的长期住房储金。行政单位缴存基数包括国家统一规定的公务员职务工资、级别工资、机关工人岗位工资和技术等级（职务）工资、年终一次性奖金、特殊岗位津贴、规范后发放的工作性津贴和生活性补贴等；事业单位缴存基数包括国家统一规定的岗位工资、薪级工资、绩效工资、特殊岗位津贴等。单位和职工住房公积金缴存比例均不得低于5%，不得高于12%。</w:t>
      </w:r>
    </w:p>
    <w:p>
      <w:pPr>
        <w:spacing w:line="600" w:lineRule="exac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13.基本支出：指为保障机构正常运转、完成日常工作任务而发生的人员支出和公用支出。</w:t>
      </w:r>
    </w:p>
    <w:p>
      <w:pPr>
        <w:spacing w:line="600" w:lineRule="exac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 xml:space="preserve">14.项目支出：指在基本支出之外为完成特定行政任务和事业发展目标所发生的支出。 </w:t>
      </w:r>
    </w:p>
    <w:p>
      <w:pPr>
        <w:spacing w:line="600" w:lineRule="exac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15.“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ascii="仿宋_GB2312" w:hAnsi="Calibri" w:eastAsia="仿宋_GB2312" w:cs="仿宋"/>
          <w:b/>
          <w:color w:val="000000"/>
          <w:kern w:val="0"/>
          <w:sz w:val="32"/>
          <w:szCs w:val="32"/>
        </w:rPr>
      </w:pPr>
      <w:r>
        <w:rPr>
          <w:rFonts w:hint="eastAsia" w:ascii="仿宋_GB2312" w:hAnsi="Calibri" w:eastAsia="仿宋_GB2312" w:cs="仿宋"/>
          <w:color w:val="000000"/>
          <w:kern w:val="0"/>
          <w:sz w:val="32"/>
          <w:szCs w:val="32"/>
        </w:rPr>
        <w:t>16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center"/>
        <w:outlineLvl w:val="0"/>
        <w:rPr>
          <w:rStyle w:val="24"/>
        </w:rPr>
      </w:pPr>
    </w:p>
    <w:p>
      <w:pPr>
        <w:pStyle w:val="3"/>
        <w:rPr>
          <w:rStyle w:val="24"/>
          <w:rFonts w:ascii="仿宋" w:hAnsi="仿宋" w:eastAsia="仿宋"/>
          <w:b w:val="0"/>
          <w:bCs w:val="0"/>
          <w:sz w:val="32"/>
          <w:szCs w:val="32"/>
        </w:rPr>
      </w:pPr>
      <w:bookmarkStart w:id="59" w:name="_Toc15396615"/>
      <w:r>
        <w:rPr>
          <w:rStyle w:val="24"/>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bookmarkStart w:id="61" w:name="_Toc15396617"/>
      <w:r>
        <w:rPr>
          <w:rFonts w:hint="eastAsia" w:ascii="黑体" w:hAnsi="黑体" w:eastAsia="黑体" w:cs="方正小标宋简体"/>
          <w:sz w:val="36"/>
          <w:szCs w:val="36"/>
        </w:rPr>
        <w:t>南江县道路运输管理局</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部门2019年部门整体支出绩效评价报告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一、部门（单位）概况及人员情况</w:t>
      </w:r>
    </w:p>
    <w:p>
      <w:pPr>
        <w:ind w:firstLine="640" w:firstLineChars="200"/>
        <w:rPr>
          <w:rFonts w:ascii="仿宋_GB2312" w:hAnsi="仿宋_GB2312" w:eastAsia="仿宋_GB2312" w:cs="仿宋_GB2312"/>
          <w:sz w:val="32"/>
          <w:szCs w:val="32"/>
        </w:rPr>
      </w:pPr>
      <w:r>
        <w:rPr>
          <w:rFonts w:hint="eastAsia" w:ascii="仿宋" w:hAnsi="仿宋" w:eastAsia="仿宋" w:cs="仿宋_GB2312"/>
          <w:bCs/>
          <w:sz w:val="32"/>
          <w:szCs w:val="32"/>
        </w:rPr>
        <w:t>负责本区行政区域内实施道路运输管理工作的法规授权道路运输管理机构。负责维护道路运输市场秩序、保障道路运输安全、保护道路运输有关各方面当事人的合法权益，促进道路运输事业的健康发展，对从事道路旅客运输经营、道路货物运输经营、道路运输相关业务包括站（场）经营、机动车维修经营、机动车驾驶员等培训工作进行行业管理，是担负行政管理职能的副科级参照公务员管理全民所有制单位，归口南江县交通运输局领导管理。</w:t>
      </w:r>
      <w:r>
        <w:rPr>
          <w:rFonts w:hint="eastAsia" w:ascii="仿宋_GB2312" w:hAnsi="仿宋_GB2312" w:eastAsia="仿宋_GB2312" w:cs="仿宋_GB2312"/>
          <w:sz w:val="32"/>
          <w:szCs w:val="32"/>
        </w:rPr>
        <w:t>下设行政办公室、财务统计股、行政审批股、车管维管股、法规股、安全稽查股、站点建设股、驾培管理股、城市客运管理办公室、货运股、驻站管理办公室2个，片区稽查队4个。</w:t>
      </w:r>
      <w:r>
        <w:rPr>
          <w:rFonts w:ascii="仿宋_GB2312" w:hAnsi="仿宋_GB2312" w:eastAsia="仿宋_GB2312" w:cs="仿宋_GB2312"/>
          <w:sz w:val="32"/>
          <w:szCs w:val="32"/>
        </w:rPr>
        <w:t>（三）人员概况。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我局机关本级核定编制55人，年末实有人数75人。其中：在职45人，离休19人，临聘人员11人。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_GB2312" w:cs="仿宋_GB2312"/>
          <w:sz w:val="32"/>
          <w:szCs w:val="32"/>
        </w:rPr>
      </w:pPr>
      <w:r>
        <w:rPr>
          <w:rFonts w:ascii="仿宋_GB2312" w:eastAsia="仿宋_GB2312"/>
          <w:sz w:val="32"/>
          <w:szCs w:val="32"/>
        </w:rPr>
        <w:t>201</w:t>
      </w:r>
      <w:r>
        <w:rPr>
          <w:rFonts w:hint="eastAsia" w:ascii="仿宋_GB2312" w:eastAsia="仿宋_GB2312"/>
          <w:sz w:val="32"/>
          <w:szCs w:val="32"/>
        </w:rPr>
        <w:t>9</w:t>
      </w:r>
      <w:r>
        <w:rPr>
          <w:rFonts w:ascii="仿宋_GB2312" w:eastAsia="仿宋_GB2312"/>
          <w:sz w:val="32"/>
          <w:szCs w:val="32"/>
        </w:rPr>
        <w:t>年</w:t>
      </w:r>
      <w:r>
        <w:rPr>
          <w:rFonts w:hint="eastAsia" w:ascii="仿宋_GB2312" w:eastAsia="仿宋_GB2312"/>
          <w:sz w:val="32"/>
          <w:szCs w:val="32"/>
        </w:rPr>
        <w:t>我局财政资金</w:t>
      </w:r>
      <w:r>
        <w:rPr>
          <w:rFonts w:ascii="仿宋_GB2312" w:eastAsia="仿宋_GB2312"/>
          <w:sz w:val="32"/>
          <w:szCs w:val="32"/>
        </w:rPr>
        <w:t>收入决算总额</w:t>
      </w:r>
      <w:r>
        <w:rPr>
          <w:rFonts w:hint="eastAsia" w:ascii="仿宋_GB2312" w:eastAsia="仿宋_GB2312"/>
          <w:sz w:val="32"/>
          <w:szCs w:val="32"/>
        </w:rPr>
        <w:t>1505.60万元。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580" w:lineRule="exact"/>
        <w:ind w:firstLine="640" w:firstLineChars="200"/>
        <w:rPr>
          <w:rFonts w:ascii="仿宋" w:hAnsi="仿宋" w:eastAsia="仿宋_GB2312" w:cs="仿宋_GB2312"/>
          <w:sz w:val="32"/>
          <w:szCs w:val="32"/>
        </w:rPr>
      </w:pPr>
      <w:r>
        <w:rPr>
          <w:rFonts w:ascii="仿宋_GB2312" w:eastAsia="仿宋_GB2312"/>
          <w:sz w:val="32"/>
          <w:szCs w:val="32"/>
        </w:rPr>
        <w:t>201</w:t>
      </w:r>
      <w:r>
        <w:rPr>
          <w:rFonts w:hint="eastAsia" w:ascii="仿宋_GB2312" w:eastAsia="仿宋_GB2312"/>
          <w:sz w:val="32"/>
          <w:szCs w:val="32"/>
        </w:rPr>
        <w:t>9</w:t>
      </w:r>
      <w:r>
        <w:rPr>
          <w:rFonts w:ascii="仿宋_GB2312" w:eastAsia="仿宋_GB2312"/>
          <w:sz w:val="32"/>
          <w:szCs w:val="32"/>
        </w:rPr>
        <w:t>年</w:t>
      </w:r>
      <w:r>
        <w:rPr>
          <w:rFonts w:hint="eastAsia" w:ascii="仿宋_GB2312" w:eastAsia="仿宋_GB2312"/>
          <w:sz w:val="32"/>
          <w:szCs w:val="32"/>
        </w:rPr>
        <w:t>我局财政资金支出</w:t>
      </w:r>
      <w:r>
        <w:rPr>
          <w:rFonts w:ascii="仿宋_GB2312" w:eastAsia="仿宋_GB2312"/>
          <w:sz w:val="32"/>
          <w:szCs w:val="32"/>
        </w:rPr>
        <w:t>决算总额</w:t>
      </w:r>
      <w:r>
        <w:rPr>
          <w:rFonts w:hint="eastAsia" w:ascii="仿宋_GB2312" w:eastAsia="仿宋_GB2312"/>
          <w:sz w:val="32"/>
          <w:szCs w:val="32"/>
        </w:rPr>
        <w:t>1505.60万元。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580" w:lineRule="exact"/>
        <w:ind w:firstLine="640" w:firstLineChars="200"/>
        <w:rPr>
          <w:rFonts w:ascii="仿宋_GB2312" w:eastAsia="仿宋_GB2312"/>
          <w:sz w:val="32"/>
          <w:szCs w:val="32"/>
        </w:rPr>
      </w:pPr>
      <w:r>
        <w:rPr>
          <w:rFonts w:ascii="仿宋" w:hAnsi="仿宋" w:eastAsia="仿宋" w:cs="仿宋_GB2312"/>
          <w:sz w:val="32"/>
          <w:szCs w:val="32"/>
        </w:rPr>
        <w:t>（</w:t>
      </w:r>
      <w:r>
        <w:rPr>
          <w:rFonts w:ascii="仿宋_GB2312" w:eastAsia="仿宋_GB2312"/>
          <w:sz w:val="32"/>
          <w:szCs w:val="32"/>
        </w:rPr>
        <w:t>一）部门预算管理。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1、预算管理制度健全：根据财政局的相关政策文件规定以及内控文件的要求，2019年我局重新制定了预算业务管理制度、收支业务管理制度、政府采购业务管理制度、资产管理制度、厉行节约制度等一系列财务管理制度，制度健全。 </w:t>
      </w:r>
    </w:p>
    <w:p>
      <w:pPr>
        <w:spacing w:line="580" w:lineRule="exact"/>
        <w:ind w:firstLine="320" w:firstLineChars="100"/>
        <w:rPr>
          <w:rFonts w:ascii="仿宋_GB2312" w:eastAsia="仿宋_GB2312"/>
          <w:sz w:val="32"/>
          <w:szCs w:val="32"/>
        </w:rPr>
      </w:pPr>
      <w:r>
        <w:rPr>
          <w:rFonts w:hint="eastAsia" w:ascii="仿宋_GB2312" w:eastAsia="仿宋_GB2312"/>
          <w:sz w:val="32"/>
          <w:szCs w:val="32"/>
        </w:rPr>
        <w:t xml:space="preserve">  2、资金使用合规：严格按照资金来源、用途使用资金；资金拨付有完整的审批程序和手续；资金使用无截留、挤占、挪用、虚列支出等情况。严格执行市财政局公务卡管理暂行办法等相关制度；加强资金的使用管理，坚持厉行节约，反对奢侈浪费，按制度办事，确保每一分钱都落到实处，每一环节按程序进行。</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3、预决算信息公开及时：能按规定时间、内容在政府门户网站上公开预决算信息，并做到信息资料真实、准确</w:t>
      </w:r>
      <w:r>
        <w:rPr>
          <w:rFonts w:ascii="仿宋_GB2312" w:eastAsia="仿宋_GB2312"/>
          <w:sz w:val="32"/>
          <w:szCs w:val="32"/>
        </w:rPr>
        <w:t>。</w:t>
      </w:r>
    </w:p>
    <w:p>
      <w:pPr>
        <w:spacing w:line="580" w:lineRule="exact"/>
        <w:ind w:firstLine="640" w:firstLineChars="200"/>
        <w:rPr>
          <w:rFonts w:ascii="仿宋_GB2312" w:eastAsia="仿宋_GB2312"/>
          <w:sz w:val="32"/>
          <w:szCs w:val="32"/>
        </w:rPr>
      </w:pPr>
      <w:r>
        <w:rPr>
          <w:rFonts w:ascii="仿宋_GB2312" w:eastAsia="仿宋_GB2312"/>
          <w:sz w:val="32"/>
          <w:szCs w:val="32"/>
        </w:rPr>
        <w:t>（二）专项预算管理。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我局专项预算主要是石油价格补贴资金。2019年度财政共安排石油价格补贴资金574.32万元，均按照财政的要求进行使用和管理，保证石油价格补贴资金发放到位。</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通过加强预算收支管理，不断建立健全内部管理制度，梳理内部管理流程，部门整体支出管理情况得到提升。</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3" w:firstLineChars="200"/>
        <w:rPr>
          <w:rFonts w:ascii="仿宋" w:hAnsi="仿宋" w:eastAsia="仿宋" w:cs="仿宋_GB2312"/>
          <w:b/>
          <w:sz w:val="32"/>
          <w:szCs w:val="32"/>
        </w:rPr>
      </w:pPr>
      <w:r>
        <w:rPr>
          <w:rFonts w:ascii="仿宋" w:hAnsi="仿宋" w:eastAsia="仿宋" w:cs="仿宋_GB2312"/>
          <w:b/>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2019年，根据年初工作规划和重点性工作，全局上下团结一心，迎难而上，加压奋进，锐意进取，各项工作取得了较大成绩，较好的完成了年度工作目标。部门整体支出绩效情况如下： </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（一）经济效益评价 1. 预算执行方面，支出总额控制在预算总额以内；2018年度“三公”经费财政拨款支出预算为6万元，支出决算为5.6万元，完成预算的93%。</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2、预算管理方面，制度执行总体较为有效。 </w:t>
      </w:r>
    </w:p>
    <w:p>
      <w:pPr>
        <w:spacing w:line="580" w:lineRule="exact"/>
        <w:ind w:firstLine="800" w:firstLineChars="250"/>
        <w:rPr>
          <w:rFonts w:ascii="仿宋" w:hAnsi="仿宋" w:eastAsia="仿宋" w:cs="仿宋_GB2312"/>
          <w:sz w:val="32"/>
          <w:szCs w:val="32"/>
        </w:rPr>
      </w:pPr>
      <w:r>
        <w:rPr>
          <w:rFonts w:hint="eastAsia" w:ascii="仿宋" w:hAnsi="仿宋" w:eastAsia="仿宋" w:cs="仿宋_GB2312"/>
          <w:sz w:val="32"/>
          <w:szCs w:val="32"/>
        </w:rPr>
        <w:t xml:space="preserve">3、资产管理方面，建立了资产管理制度，定期进行了盘点和资产清理，总体执行较好。 </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（二）效率性评价和有效性评价 预算安排的基本支出保障了正常的工作运转，预算安排的项目支出是非常必要的，在执行上是严格遵守各项财经纪律的，在项目资金的使用上也是放的心的，严守法律底线、纪律底线、道德底线。</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（三）社会公众满意度评价 2019年我局认真贯彻落实党的十九届三中全会精神勤奋工作，创先争优，通过全年不定期的持续高压整治，我县非法营运打击始终保持了高压态势，震慑了非法经营者，进一步规范了全县客运市场经营秩序。</w:t>
      </w:r>
    </w:p>
    <w:p>
      <w:pPr>
        <w:spacing w:line="580" w:lineRule="exact"/>
        <w:ind w:firstLine="643" w:firstLineChars="200"/>
        <w:rPr>
          <w:rFonts w:ascii="仿宋" w:hAnsi="仿宋" w:eastAsia="仿宋" w:cs="仿宋_GB2312"/>
          <w:b/>
          <w:sz w:val="32"/>
          <w:szCs w:val="32"/>
        </w:rPr>
      </w:pPr>
      <w:r>
        <w:rPr>
          <w:rFonts w:ascii="仿宋" w:hAnsi="仿宋" w:eastAsia="仿宋" w:cs="仿宋_GB2312"/>
          <w:b/>
          <w:sz w:val="32"/>
          <w:szCs w:val="32"/>
        </w:rPr>
        <w:t>（二）存在问题。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1、行业管理还比较粗放。</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2、财务制度执行力有待加强，资金使用计划有待细化。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3、财政预算资金到位比较迟缓，各项目经费支付不能及时到位。</w:t>
      </w:r>
    </w:p>
    <w:p>
      <w:pPr>
        <w:spacing w:line="580" w:lineRule="exact"/>
        <w:ind w:firstLine="643" w:firstLineChars="200"/>
        <w:rPr>
          <w:rFonts w:ascii="仿宋" w:hAnsi="仿宋" w:eastAsia="仿宋" w:cs="仿宋_GB2312"/>
          <w:b/>
          <w:sz w:val="32"/>
          <w:szCs w:val="32"/>
        </w:rPr>
      </w:pPr>
      <w:r>
        <w:rPr>
          <w:rFonts w:ascii="仿宋" w:hAnsi="仿宋" w:eastAsia="仿宋" w:cs="仿宋_GB2312"/>
          <w:b/>
          <w:sz w:val="32"/>
          <w:szCs w:val="32"/>
        </w:rPr>
        <w:t>（三）改进建议。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针对上述存在的问题及整体支出管理工作的需要，拟实施的改进措施如下：</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1、继续从严控制车辆购置及运行费、公务接待费等一般性支出。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2、加强财务管理，严格财务审核。在费用报账支付时，按照预算规定的费用项目和用途进行资金使用审核、列报支付、财务核算，杜绝超支现象的发生。</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3、加强项目开展进度的跟踪，开展项目绩效评价，确保项目绩效目标的完成。</w:t>
      </w: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4"/>
          <w:rFonts w:ascii="仿宋" w:hAnsi="仿宋" w:eastAsia="仿宋"/>
          <w:b w:val="0"/>
          <w:bCs w:val="0"/>
          <w:sz w:val="32"/>
          <w:szCs w:val="32"/>
        </w:rPr>
      </w:pPr>
      <w:r>
        <w:rPr>
          <w:rStyle w:val="24"/>
          <w:rFonts w:hint="eastAsia" w:ascii="仿宋" w:hAnsi="仿宋" w:eastAsia="仿宋"/>
          <w:b w:val="0"/>
          <w:bCs w:val="0"/>
          <w:sz w:val="32"/>
          <w:szCs w:val="32"/>
        </w:rPr>
        <w:t>附件2</w:t>
      </w:r>
      <w:bookmarkEnd w:id="61"/>
    </w:p>
    <w:p>
      <w:pPr>
        <w:pStyle w:val="30"/>
        <w:spacing w:line="240" w:lineRule="auto"/>
        <w:jc w:val="center"/>
        <w:rPr>
          <w:rFonts w:hint="eastAsia" w:ascii="方正小标宋简体" w:hAnsi="宋体" w:eastAsia="方正小标宋简体"/>
          <w:b/>
          <w:sz w:val="44"/>
          <w:szCs w:val="44"/>
        </w:rPr>
      </w:pPr>
      <w:bookmarkStart w:id="62" w:name="_Toc15396618"/>
      <w:r>
        <w:rPr>
          <w:rFonts w:hint="eastAsia" w:ascii="方正小标宋简体" w:hAnsi="宋体" w:eastAsia="方正小标宋简体"/>
          <w:b/>
          <w:sz w:val="44"/>
          <w:szCs w:val="44"/>
        </w:rPr>
        <w:t>南江县道路运输管理局</w:t>
      </w:r>
    </w:p>
    <w:p>
      <w:pPr>
        <w:pStyle w:val="30"/>
        <w:spacing w:line="240" w:lineRule="auto"/>
        <w:jc w:val="center"/>
        <w:rPr>
          <w:rFonts w:ascii="仿宋_GB2312" w:hAnsi="宋体" w:eastAsia="仿宋_GB2312"/>
          <w:color w:val="auto"/>
          <w:kern w:val="2"/>
          <w:sz w:val="32"/>
          <w:szCs w:val="32"/>
        </w:rPr>
      </w:pPr>
      <w:r>
        <w:rPr>
          <w:rFonts w:hint="eastAsia" w:ascii="方正小标宋简体" w:hAnsi="宋体" w:eastAsia="方正小标宋简体"/>
          <w:b/>
          <w:sz w:val="44"/>
          <w:szCs w:val="44"/>
        </w:rPr>
        <w:t>项目支出绩效自评报告</w:t>
      </w:r>
    </w:p>
    <w:p>
      <w:pPr>
        <w:jc w:val="center"/>
        <w:rPr>
          <w:rFonts w:ascii="仿宋_GB2312" w:hAnsi="宋体"/>
          <w:sz w:val="32"/>
          <w:szCs w:val="32"/>
        </w:rPr>
      </w:pPr>
      <w:r>
        <w:rPr>
          <w:rFonts w:hint="eastAsia" w:ascii="仿宋_GB2312" w:hAnsi="宋体"/>
          <w:sz w:val="32"/>
          <w:szCs w:val="32"/>
        </w:rPr>
        <w:t>（道路运输安全执法办案经费项目）</w:t>
      </w:r>
    </w:p>
    <w:p>
      <w:pPr>
        <w:pStyle w:val="30"/>
        <w:spacing w:line="240" w:lineRule="auto"/>
        <w:jc w:val="center"/>
        <w:rPr>
          <w:rFonts w:ascii="宋体"/>
          <w:color w:val="auto"/>
          <w:kern w:val="2"/>
          <w:sz w:val="32"/>
          <w:szCs w:val="32"/>
        </w:rPr>
      </w:pPr>
    </w:p>
    <w:p>
      <w:pPr>
        <w:adjustRightInd w:val="0"/>
        <w:snapToGrid w:val="0"/>
        <w:spacing w:line="560" w:lineRule="exact"/>
        <w:ind w:firstLine="720"/>
        <w:rPr>
          <w:rFonts w:ascii="仿宋" w:hAnsi="仿宋" w:eastAsia="仿宋"/>
          <w:sz w:val="32"/>
          <w:szCs w:val="32"/>
          <w:lang w:val="zh-CN"/>
        </w:rPr>
      </w:pPr>
      <w:r>
        <w:rPr>
          <w:rFonts w:hint="eastAsia" w:ascii="仿宋" w:hAnsi="仿宋" w:eastAsia="仿宋"/>
          <w:sz w:val="32"/>
          <w:szCs w:val="32"/>
        </w:rPr>
        <w:t>一、</w:t>
      </w:r>
      <w:r>
        <w:rPr>
          <w:rFonts w:hint="eastAsia" w:ascii="仿宋" w:hAnsi="仿宋" w:eastAsia="仿宋"/>
          <w:sz w:val="32"/>
          <w:szCs w:val="32"/>
          <w:lang w:val="zh-CN"/>
        </w:rPr>
        <w:t>项目概况</w:t>
      </w:r>
    </w:p>
    <w:p>
      <w:pPr>
        <w:adjustRightInd w:val="0"/>
        <w:snapToGrid w:val="0"/>
        <w:spacing w:line="560" w:lineRule="exact"/>
        <w:ind w:firstLine="720"/>
        <w:rPr>
          <w:rFonts w:ascii="仿宋" w:hAnsi="仿宋" w:eastAsia="仿宋"/>
          <w:sz w:val="32"/>
          <w:szCs w:val="32"/>
          <w:lang w:val="zh-CN"/>
        </w:rPr>
      </w:pPr>
      <w:r>
        <w:rPr>
          <w:rFonts w:hint="eastAsia" w:ascii="仿宋" w:hAnsi="仿宋" w:eastAsia="仿宋"/>
          <w:b/>
          <w:sz w:val="32"/>
          <w:szCs w:val="32"/>
          <w:lang w:val="zh-CN"/>
        </w:rPr>
        <w:t>（一）项目资金申报及批复情况。</w:t>
      </w:r>
      <w:r>
        <w:rPr>
          <w:rFonts w:hint="eastAsia" w:ascii="仿宋" w:hAnsi="仿宋" w:eastAsia="仿宋"/>
          <w:bCs/>
          <w:sz w:val="32"/>
          <w:szCs w:val="32"/>
          <w:lang w:val="zh-CN"/>
        </w:rPr>
        <w:t>该项目为我局</w:t>
      </w:r>
      <w:r>
        <w:rPr>
          <w:rFonts w:hint="eastAsia" w:ascii="仿宋" w:hAnsi="仿宋" w:eastAsia="仿宋"/>
          <w:bCs/>
          <w:sz w:val="32"/>
          <w:szCs w:val="32"/>
        </w:rPr>
        <w:t>2019年执法办案经费，属常年项目。项目实施日期为2019年1月1日至2019年12月31日，预算安排为30万元 ，压减一般性项目支出2.925万元</w:t>
      </w:r>
      <w:r>
        <w:rPr>
          <w:rFonts w:hint="eastAsia" w:ascii="仿宋" w:hAnsi="仿宋" w:eastAsia="仿宋"/>
          <w:sz w:val="32"/>
          <w:szCs w:val="32"/>
          <w:lang w:val="zh-CN"/>
        </w:rPr>
        <w:t>，实际拨付</w:t>
      </w:r>
      <w:r>
        <w:rPr>
          <w:rFonts w:hint="eastAsia" w:ascii="仿宋" w:hAnsi="仿宋" w:eastAsia="仿宋"/>
          <w:sz w:val="32"/>
          <w:szCs w:val="32"/>
        </w:rPr>
        <w:t>27.075万元。</w:t>
      </w:r>
      <w:r>
        <w:rPr>
          <w:rFonts w:hint="eastAsia" w:ascii="仿宋" w:hAnsi="仿宋" w:eastAsia="仿宋"/>
          <w:sz w:val="32"/>
          <w:szCs w:val="32"/>
          <w:lang w:val="zh-CN"/>
        </w:rPr>
        <w:t>根据历年的发展情况，申请此项目能在一定程度上保障我局在办案工作期间的正常运转。符合资金管理办法等相关规定。</w:t>
      </w:r>
    </w:p>
    <w:p>
      <w:pPr>
        <w:adjustRightInd w:val="0"/>
        <w:snapToGrid w:val="0"/>
        <w:spacing w:line="560" w:lineRule="exact"/>
        <w:ind w:firstLine="720"/>
        <w:rPr>
          <w:rFonts w:ascii="仿宋" w:hAnsi="仿宋" w:eastAsia="仿宋"/>
          <w:sz w:val="32"/>
          <w:szCs w:val="32"/>
          <w:lang w:val="zh-CN"/>
        </w:rPr>
      </w:pPr>
      <w:r>
        <w:rPr>
          <w:rFonts w:hint="eastAsia" w:ascii="仿宋" w:hAnsi="仿宋" w:eastAsia="仿宋"/>
          <w:b/>
          <w:sz w:val="32"/>
          <w:szCs w:val="32"/>
          <w:lang w:val="zh-CN"/>
        </w:rPr>
        <w:t>（二）项目绩效目标。</w:t>
      </w:r>
      <w:r>
        <w:rPr>
          <w:rFonts w:hint="eastAsia" w:ascii="仿宋" w:hAnsi="仿宋" w:eastAsia="仿宋"/>
          <w:sz w:val="32"/>
          <w:szCs w:val="32"/>
          <w:lang w:val="zh-CN"/>
        </w:rPr>
        <w:t>通过实施该项目，可使我局通过警告、罚没等相关行政处罚形式，对道路交通违法行为进行及时处理，使我局有效地维护道路运输市场的秩序与稳定；保障县域内道路的运输安全；进一步保障人民群众出行时的人身、财产安全。</w:t>
      </w:r>
    </w:p>
    <w:p>
      <w:pPr>
        <w:adjustRightInd w:val="0"/>
        <w:snapToGrid w:val="0"/>
        <w:spacing w:line="560" w:lineRule="exact"/>
        <w:ind w:firstLine="720"/>
        <w:rPr>
          <w:rFonts w:ascii="仿宋" w:hAnsi="仿宋" w:eastAsia="仿宋"/>
          <w:sz w:val="32"/>
          <w:szCs w:val="32"/>
          <w:lang w:val="zh-CN"/>
        </w:rPr>
      </w:pPr>
      <w:r>
        <w:rPr>
          <w:rFonts w:hint="eastAsia" w:ascii="仿宋" w:hAnsi="仿宋" w:eastAsia="仿宋"/>
          <w:b/>
          <w:sz w:val="32"/>
          <w:szCs w:val="32"/>
          <w:lang w:val="zh-CN"/>
        </w:rPr>
        <w:t>（三）项目资金申报相符性。</w:t>
      </w:r>
      <w:r>
        <w:rPr>
          <w:rFonts w:hint="eastAsia" w:ascii="仿宋" w:hAnsi="仿宋" w:eastAsia="仿宋"/>
          <w:bCs/>
          <w:sz w:val="32"/>
          <w:szCs w:val="32"/>
          <w:lang w:val="zh-CN"/>
        </w:rPr>
        <w:t>申报此项目是我局</w:t>
      </w:r>
      <w:r>
        <w:rPr>
          <w:rFonts w:hint="eastAsia" w:ascii="仿宋" w:hAnsi="仿宋" w:eastAsia="仿宋"/>
          <w:sz w:val="32"/>
          <w:szCs w:val="32"/>
          <w:lang w:val="zh-CN"/>
        </w:rPr>
        <w:t>执法工作正常运转的保障之一。进而能够更加有效地保证我局完成：维护道路交通的秩序与稳定；保障域内道路的运输安全；进一步保障人民群众出行时的人身、财产安全等职责。</w:t>
      </w:r>
    </w:p>
    <w:p>
      <w:pPr>
        <w:adjustRightInd w:val="0"/>
        <w:snapToGrid w:val="0"/>
        <w:spacing w:line="560" w:lineRule="exact"/>
        <w:ind w:firstLine="720"/>
        <w:rPr>
          <w:rFonts w:ascii="仿宋" w:hAnsi="仿宋" w:eastAsia="仿宋"/>
          <w:sz w:val="32"/>
          <w:szCs w:val="32"/>
        </w:rPr>
      </w:pPr>
      <w:r>
        <w:rPr>
          <w:rFonts w:hint="eastAsia" w:ascii="仿宋" w:hAnsi="仿宋" w:eastAsia="仿宋"/>
          <w:sz w:val="32"/>
          <w:szCs w:val="32"/>
        </w:rPr>
        <w:t>二、项目实施及管理情况</w:t>
      </w:r>
    </w:p>
    <w:p>
      <w:pPr>
        <w:adjustRightInd w:val="0"/>
        <w:snapToGrid w:val="0"/>
        <w:spacing w:line="560" w:lineRule="exact"/>
        <w:ind w:firstLine="720"/>
        <w:rPr>
          <w:rFonts w:ascii="仿宋" w:hAnsi="仿宋" w:eastAsia="仿宋"/>
          <w:b/>
          <w:sz w:val="32"/>
          <w:szCs w:val="32"/>
          <w:lang w:val="zh-CN"/>
        </w:rPr>
      </w:pPr>
      <w:r>
        <w:rPr>
          <w:rFonts w:ascii="仿宋" w:hAnsi="仿宋" w:eastAsia="仿宋"/>
          <w:sz w:val="32"/>
          <w:szCs w:val="32"/>
          <w:lang w:val="zh-CN"/>
        </w:rPr>
        <w:tab/>
      </w:r>
      <w:r>
        <w:rPr>
          <w:rFonts w:hint="eastAsia" w:ascii="仿宋" w:hAnsi="仿宋" w:eastAsia="仿宋"/>
          <w:b/>
          <w:sz w:val="32"/>
          <w:szCs w:val="32"/>
          <w:lang w:val="zh-CN"/>
        </w:rPr>
        <w:t>（一）资金计划、到位及使用情况。</w:t>
      </w:r>
    </w:p>
    <w:p>
      <w:pPr>
        <w:adjustRightInd w:val="0"/>
        <w:snapToGrid w:val="0"/>
        <w:spacing w:line="560" w:lineRule="exact"/>
        <w:ind w:firstLine="720"/>
        <w:rPr>
          <w:rFonts w:ascii="仿宋" w:hAnsi="仿宋" w:eastAsia="仿宋"/>
          <w:sz w:val="32"/>
          <w:szCs w:val="32"/>
          <w:lang w:val="zh-CN"/>
        </w:rPr>
      </w:pPr>
      <w:r>
        <w:rPr>
          <w:rFonts w:ascii="仿宋" w:hAnsi="仿宋" w:eastAsia="仿宋"/>
          <w:sz w:val="32"/>
          <w:szCs w:val="32"/>
          <w:lang w:val="zh-CN"/>
        </w:rPr>
        <w:t>1</w:t>
      </w:r>
      <w:r>
        <w:rPr>
          <w:rFonts w:hint="eastAsia" w:ascii="仿宋" w:hAnsi="仿宋" w:eastAsia="仿宋"/>
          <w:sz w:val="32"/>
          <w:szCs w:val="32"/>
          <w:lang w:val="zh-CN"/>
        </w:rPr>
        <w:t>、资金计划及到位。</w:t>
      </w:r>
      <w:r>
        <w:rPr>
          <w:rFonts w:hint="eastAsia" w:ascii="仿宋" w:hAnsi="仿宋" w:eastAsia="仿宋"/>
          <w:sz w:val="32"/>
          <w:szCs w:val="32"/>
        </w:rPr>
        <w:t>2019年我局道路运输安全执法办案经费项目安排资金为27.075万元，由县财政核拨。</w:t>
      </w:r>
      <w:r>
        <w:rPr>
          <w:rFonts w:hint="eastAsia" w:ascii="仿宋" w:hAnsi="仿宋" w:eastAsia="仿宋"/>
          <w:sz w:val="32"/>
          <w:szCs w:val="32"/>
          <w:lang w:val="zh-CN"/>
        </w:rPr>
        <w:t>截止</w:t>
      </w:r>
      <w:r>
        <w:rPr>
          <w:rFonts w:hint="eastAsia" w:ascii="仿宋" w:hAnsi="仿宋" w:eastAsia="仿宋"/>
          <w:sz w:val="32"/>
          <w:szCs w:val="32"/>
        </w:rPr>
        <w:t>2019年12月31日，由县财政拨入我局该项经费共计27.075万元，资金到位率100%</w:t>
      </w:r>
      <w:r>
        <w:rPr>
          <w:rFonts w:hint="eastAsia" w:ascii="仿宋" w:hAnsi="仿宋" w:eastAsia="仿宋"/>
          <w:sz w:val="32"/>
          <w:szCs w:val="32"/>
          <w:lang w:val="zh-CN"/>
        </w:rPr>
        <w:t>。</w:t>
      </w:r>
    </w:p>
    <w:p>
      <w:pPr>
        <w:adjustRightInd w:val="0"/>
        <w:snapToGrid w:val="0"/>
        <w:spacing w:line="560" w:lineRule="exact"/>
        <w:ind w:firstLine="720"/>
        <w:rPr>
          <w:rFonts w:ascii="仿宋" w:hAnsi="仿宋" w:eastAsia="仿宋"/>
          <w:sz w:val="32"/>
          <w:szCs w:val="32"/>
          <w:lang w:val="zh-CN"/>
        </w:rPr>
      </w:pPr>
      <w:r>
        <w:rPr>
          <w:rFonts w:ascii="仿宋" w:hAnsi="仿宋" w:eastAsia="仿宋"/>
          <w:sz w:val="32"/>
          <w:szCs w:val="32"/>
          <w:lang w:val="zh-CN"/>
        </w:rPr>
        <w:t>2</w:t>
      </w:r>
      <w:r>
        <w:rPr>
          <w:rFonts w:hint="eastAsia" w:ascii="仿宋" w:hAnsi="仿宋" w:eastAsia="仿宋"/>
          <w:sz w:val="32"/>
          <w:szCs w:val="32"/>
          <w:lang w:val="zh-CN"/>
        </w:rPr>
        <w:t>、资金使用。该项经费主要用于我局一线执法办案人员的差旅费，办公费，暂扣车辆停车费等。一定程度上保证了我局执法办案工作的正常运转。</w:t>
      </w:r>
    </w:p>
    <w:p>
      <w:pPr>
        <w:adjustRightInd w:val="0"/>
        <w:snapToGrid w:val="0"/>
        <w:spacing w:line="560" w:lineRule="exact"/>
        <w:ind w:firstLine="720"/>
        <w:rPr>
          <w:rFonts w:ascii="仿宋" w:hAnsi="仿宋" w:eastAsia="仿宋"/>
          <w:b/>
          <w:sz w:val="32"/>
          <w:szCs w:val="32"/>
          <w:lang w:val="zh-CN"/>
        </w:rPr>
      </w:pPr>
      <w:r>
        <w:rPr>
          <w:rFonts w:hint="eastAsia" w:ascii="仿宋" w:hAnsi="仿宋" w:eastAsia="仿宋"/>
          <w:b/>
          <w:sz w:val="32"/>
          <w:szCs w:val="32"/>
          <w:lang w:val="zh-CN"/>
        </w:rPr>
        <w:t>（二）项目财务管理情况。</w:t>
      </w:r>
    </w:p>
    <w:p>
      <w:pPr>
        <w:adjustRightInd w:val="0"/>
        <w:snapToGrid w:val="0"/>
        <w:spacing w:line="560" w:lineRule="exact"/>
        <w:ind w:firstLine="720"/>
        <w:rPr>
          <w:rFonts w:ascii="仿宋" w:hAnsi="仿宋" w:eastAsia="仿宋"/>
          <w:sz w:val="32"/>
          <w:szCs w:val="32"/>
          <w:lang w:val="zh-CN"/>
        </w:rPr>
      </w:pPr>
      <w:r>
        <w:rPr>
          <w:rFonts w:hint="eastAsia" w:ascii="仿宋" w:hAnsi="仿宋" w:eastAsia="仿宋"/>
          <w:sz w:val="32"/>
          <w:szCs w:val="32"/>
          <w:lang w:val="zh-CN"/>
        </w:rPr>
        <w:t>我局将财政下拨的办案经费每一分都落到实处，项目开支均与道路运输执法办案业务相关。严格执行我局财务管理相关制度，及时规范的进行了账务处理。</w:t>
      </w:r>
    </w:p>
    <w:p>
      <w:pPr>
        <w:adjustRightInd w:val="0"/>
        <w:snapToGrid w:val="0"/>
        <w:spacing w:line="560" w:lineRule="exact"/>
        <w:ind w:firstLine="720"/>
        <w:rPr>
          <w:rFonts w:ascii="仿宋" w:hAnsi="仿宋" w:eastAsia="仿宋"/>
          <w:b/>
          <w:sz w:val="32"/>
          <w:szCs w:val="32"/>
          <w:lang w:val="zh-CN"/>
        </w:rPr>
      </w:pPr>
      <w:r>
        <w:rPr>
          <w:rFonts w:hint="eastAsia" w:ascii="仿宋" w:hAnsi="仿宋" w:eastAsia="仿宋"/>
          <w:b/>
          <w:sz w:val="32"/>
          <w:szCs w:val="32"/>
          <w:lang w:val="zh-CN"/>
        </w:rPr>
        <w:t>（三）项目组织实施情况。</w:t>
      </w:r>
    </w:p>
    <w:p>
      <w:pPr>
        <w:adjustRightInd w:val="0"/>
        <w:snapToGrid w:val="0"/>
        <w:spacing w:line="560" w:lineRule="exact"/>
        <w:ind w:firstLine="720"/>
        <w:rPr>
          <w:rFonts w:ascii="仿宋" w:hAnsi="仿宋" w:eastAsia="仿宋"/>
          <w:sz w:val="32"/>
          <w:szCs w:val="32"/>
          <w:lang w:val="zh-CN"/>
        </w:rPr>
      </w:pPr>
      <w:r>
        <w:rPr>
          <w:rFonts w:hint="eastAsia" w:ascii="仿宋" w:hAnsi="仿宋" w:eastAsia="仿宋"/>
          <w:sz w:val="32"/>
          <w:szCs w:val="32"/>
          <w:lang w:val="zh-CN"/>
        </w:rPr>
        <w:t>我局按照既定的绩效总体目标和年初制定的执法任务，制定出具体的交通执法实施方案，以四个稽查大队为主要力量，在市运管局、县交通局的指导下，根据有关法律法规及相关文件要求，开展一系列交通执法专项行动。认真做好日常管理工作，记录好每次上路日记、及时准确报送相关专项行动业务报表、及时处理各类交通违法案件。</w:t>
      </w:r>
    </w:p>
    <w:p>
      <w:pPr>
        <w:adjustRightInd w:val="0"/>
        <w:snapToGrid w:val="0"/>
        <w:spacing w:line="560" w:lineRule="exact"/>
        <w:ind w:firstLine="720"/>
        <w:rPr>
          <w:rFonts w:ascii="仿宋" w:hAnsi="仿宋" w:eastAsia="仿宋"/>
          <w:sz w:val="32"/>
          <w:szCs w:val="32"/>
          <w:lang w:val="zh-CN"/>
        </w:rPr>
      </w:pPr>
      <w:r>
        <w:rPr>
          <w:rFonts w:hint="eastAsia" w:ascii="仿宋" w:hAnsi="仿宋" w:eastAsia="仿宋"/>
          <w:sz w:val="32"/>
          <w:szCs w:val="32"/>
        </w:rPr>
        <w:t>三、目标完成情况</w:t>
      </w:r>
      <w:r>
        <w:rPr>
          <w:rFonts w:ascii="仿宋" w:hAnsi="仿宋" w:eastAsia="仿宋"/>
          <w:sz w:val="32"/>
          <w:szCs w:val="32"/>
          <w:lang w:val="zh-CN"/>
        </w:rPr>
        <w:tab/>
      </w:r>
    </w:p>
    <w:p>
      <w:pPr>
        <w:adjustRightInd w:val="0"/>
        <w:snapToGrid w:val="0"/>
        <w:spacing w:line="560" w:lineRule="exact"/>
        <w:ind w:firstLine="720"/>
        <w:rPr>
          <w:rFonts w:ascii="仿宋" w:hAnsi="仿宋" w:eastAsia="仿宋"/>
          <w:b/>
          <w:sz w:val="32"/>
          <w:szCs w:val="32"/>
          <w:lang w:val="zh-CN"/>
        </w:rPr>
      </w:pPr>
      <w:r>
        <w:rPr>
          <w:rFonts w:hint="eastAsia" w:ascii="仿宋" w:hAnsi="仿宋" w:eastAsia="仿宋"/>
          <w:b/>
          <w:sz w:val="32"/>
          <w:szCs w:val="32"/>
          <w:lang w:val="zh-CN"/>
        </w:rPr>
        <w:t>（一）目标任务量完成情况。</w:t>
      </w:r>
    </w:p>
    <w:p>
      <w:pPr>
        <w:adjustRightInd w:val="0"/>
        <w:snapToGrid w:val="0"/>
        <w:spacing w:line="560" w:lineRule="exact"/>
        <w:ind w:firstLine="720"/>
        <w:rPr>
          <w:rFonts w:ascii="仿宋" w:hAnsi="仿宋" w:eastAsia="仿宋"/>
          <w:color w:val="FF0000"/>
          <w:sz w:val="32"/>
          <w:szCs w:val="32"/>
          <w:lang w:val="zh-CN"/>
        </w:rPr>
      </w:pPr>
      <w:r>
        <w:rPr>
          <w:rFonts w:hint="eastAsia" w:ascii="仿宋" w:hAnsi="仿宋" w:eastAsia="仿宋"/>
          <w:sz w:val="32"/>
          <w:szCs w:val="32"/>
          <w:lang w:val="zh-CN"/>
        </w:rPr>
        <w:t>截止</w:t>
      </w:r>
      <w:r>
        <w:rPr>
          <w:rFonts w:hint="eastAsia" w:ascii="仿宋" w:hAnsi="仿宋" w:eastAsia="仿宋"/>
          <w:sz w:val="32"/>
          <w:szCs w:val="32"/>
        </w:rPr>
        <w:t>2019年12月31日，该项目实施进度为100%。2019年非税罚没收入目标任务为115万元，2019年实际完成罚没收入53.92万元。未完成</w:t>
      </w:r>
      <w:r>
        <w:rPr>
          <w:rFonts w:hint="eastAsia" w:ascii="仿宋" w:hAnsi="仿宋" w:eastAsia="仿宋"/>
          <w:sz w:val="32"/>
          <w:szCs w:val="32"/>
          <w:lang w:val="zh-CN"/>
        </w:rPr>
        <w:t>原因如下</w:t>
      </w:r>
      <w:r>
        <w:rPr>
          <w:rFonts w:hint="eastAsia" w:ascii="仿宋" w:hAnsi="仿宋" w:eastAsia="仿宋"/>
          <w:sz w:val="32"/>
          <w:szCs w:val="32"/>
        </w:rPr>
        <w:t>:</w:t>
      </w:r>
      <w:r>
        <w:rPr>
          <w:rFonts w:hint="eastAsia" w:ascii="仿宋" w:hAnsi="仿宋" w:eastAsia="仿宋"/>
          <w:sz w:val="32"/>
          <w:szCs w:val="32"/>
          <w:lang w:val="zh-CN"/>
        </w:rPr>
        <w:t>运管罚没收入来源于对违反道路运输管理法规规定的行为进行处罚，其中主要是对自用车非法从事营运行为进行处罚。随着人们法治意识逐步增强，以及社会不断进步，人民群众收入增加和生活水平的提升，私家车拥有量大幅增加，非法营运逐步减少，县道路运输管理非税收入呈逐年下降趋</w:t>
      </w:r>
      <w:bookmarkStart w:id="71" w:name="_GoBack"/>
      <w:bookmarkEnd w:id="71"/>
      <w:r>
        <w:rPr>
          <w:rFonts w:hint="eastAsia" w:ascii="仿宋" w:hAnsi="仿宋" w:eastAsia="仿宋"/>
          <w:sz w:val="32"/>
          <w:szCs w:val="32"/>
          <w:lang w:val="zh-CN"/>
        </w:rPr>
        <w:t>势，主要原因为：一是执法力度加大运输市场日益规范，随着“四好农村路”建设深入推进，农村从事非法运营车辆明显减少；二是加大城区跨县、市、省非法参营者的联合打击力度，非法参营者逐渐减少；三是随着网约车、顺风车等新兴运输方式的出现，资金交易更加隐蔽，乘客不理解、不配合，最终导致取证难、扣车难，处罚难。</w:t>
      </w:r>
    </w:p>
    <w:p>
      <w:pPr>
        <w:adjustRightInd w:val="0"/>
        <w:snapToGrid w:val="0"/>
        <w:spacing w:line="560" w:lineRule="exact"/>
        <w:ind w:firstLine="720"/>
        <w:rPr>
          <w:rFonts w:ascii="仿宋" w:hAnsi="仿宋" w:eastAsia="仿宋"/>
          <w:b/>
          <w:sz w:val="32"/>
          <w:szCs w:val="32"/>
          <w:lang w:val="zh-CN"/>
        </w:rPr>
      </w:pPr>
      <w:r>
        <w:rPr>
          <w:rFonts w:hint="eastAsia" w:ascii="仿宋" w:hAnsi="仿宋" w:eastAsia="仿宋"/>
          <w:b/>
          <w:sz w:val="32"/>
          <w:szCs w:val="32"/>
          <w:lang w:val="zh-CN"/>
        </w:rPr>
        <w:t>（二）目标质量完成情况。</w:t>
      </w:r>
    </w:p>
    <w:p>
      <w:pPr>
        <w:adjustRightInd w:val="0"/>
        <w:snapToGrid w:val="0"/>
        <w:spacing w:line="560" w:lineRule="exact"/>
        <w:ind w:firstLine="720"/>
        <w:rPr>
          <w:rFonts w:ascii="仿宋" w:hAnsi="仿宋" w:eastAsia="仿宋"/>
          <w:sz w:val="32"/>
          <w:szCs w:val="32"/>
        </w:rPr>
      </w:pPr>
      <w:r>
        <w:rPr>
          <w:rFonts w:hint="eastAsia" w:ascii="仿宋" w:hAnsi="仿宋" w:eastAsia="仿宋"/>
          <w:sz w:val="32"/>
          <w:szCs w:val="32"/>
          <w:lang w:val="zh-CN"/>
        </w:rPr>
        <w:t>截止</w:t>
      </w:r>
      <w:r>
        <w:rPr>
          <w:rFonts w:hint="eastAsia" w:ascii="仿宋" w:hAnsi="仿宋" w:eastAsia="仿宋"/>
          <w:sz w:val="32"/>
          <w:szCs w:val="32"/>
        </w:rPr>
        <w:t>2019年12月31日，该项目实施完成，目标质量完成情况较好。</w:t>
      </w:r>
    </w:p>
    <w:p>
      <w:pPr>
        <w:adjustRightInd w:val="0"/>
        <w:snapToGrid w:val="0"/>
        <w:spacing w:line="560" w:lineRule="exact"/>
        <w:ind w:firstLine="720"/>
        <w:rPr>
          <w:rFonts w:ascii="仿宋" w:hAnsi="仿宋" w:eastAsia="仿宋"/>
          <w:b/>
          <w:sz w:val="32"/>
          <w:szCs w:val="32"/>
          <w:lang w:val="zh-CN"/>
        </w:rPr>
      </w:pPr>
      <w:r>
        <w:rPr>
          <w:rFonts w:hint="eastAsia" w:ascii="仿宋" w:hAnsi="仿宋" w:eastAsia="仿宋"/>
          <w:b/>
          <w:sz w:val="32"/>
          <w:szCs w:val="32"/>
          <w:lang w:val="zh-CN"/>
        </w:rPr>
        <w:t>（三）目标进度完成情况。</w:t>
      </w:r>
    </w:p>
    <w:p>
      <w:pPr>
        <w:adjustRightInd w:val="0"/>
        <w:snapToGrid w:val="0"/>
        <w:spacing w:line="560" w:lineRule="exact"/>
        <w:ind w:firstLine="720"/>
        <w:rPr>
          <w:rFonts w:ascii="仿宋" w:hAnsi="仿宋" w:eastAsia="仿宋"/>
          <w:sz w:val="32"/>
          <w:szCs w:val="32"/>
        </w:rPr>
      </w:pPr>
      <w:r>
        <w:rPr>
          <w:rFonts w:hint="eastAsia" w:ascii="仿宋" w:hAnsi="仿宋" w:eastAsia="仿宋"/>
          <w:sz w:val="32"/>
          <w:szCs w:val="32"/>
          <w:lang w:val="zh-CN"/>
        </w:rPr>
        <w:t>截止</w:t>
      </w:r>
      <w:r>
        <w:rPr>
          <w:rFonts w:hint="eastAsia" w:ascii="仿宋" w:hAnsi="仿宋" w:eastAsia="仿宋"/>
          <w:sz w:val="32"/>
          <w:szCs w:val="32"/>
        </w:rPr>
        <w:t>2019年12月31日，该项目实施进度为100%。</w:t>
      </w:r>
    </w:p>
    <w:p>
      <w:pPr>
        <w:adjustRightInd w:val="0"/>
        <w:snapToGrid w:val="0"/>
        <w:spacing w:line="560" w:lineRule="exact"/>
        <w:ind w:firstLine="720"/>
        <w:rPr>
          <w:rFonts w:ascii="仿宋" w:hAnsi="仿宋" w:eastAsia="仿宋"/>
          <w:sz w:val="32"/>
          <w:szCs w:val="32"/>
        </w:rPr>
      </w:pPr>
      <w:r>
        <w:rPr>
          <w:rFonts w:hint="eastAsia" w:ascii="仿宋" w:hAnsi="仿宋" w:eastAsia="仿宋"/>
          <w:sz w:val="32"/>
          <w:szCs w:val="32"/>
        </w:rPr>
        <w:t>四、项目效益情况</w:t>
      </w:r>
    </w:p>
    <w:p>
      <w:pPr>
        <w:adjustRightInd w:val="0"/>
        <w:snapToGrid w:val="0"/>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该项目实施维护了道路运输市场的秩序与稳定；保障县域内道路的运输安全；净化了客运市场环境；进一步保障人民群众出行时的人身、财产安全。</w:t>
      </w:r>
    </w:p>
    <w:p>
      <w:pPr>
        <w:adjustRightInd w:val="0"/>
        <w:snapToGrid w:val="0"/>
        <w:spacing w:line="560" w:lineRule="exact"/>
        <w:ind w:firstLine="720"/>
        <w:rPr>
          <w:rFonts w:ascii="仿宋" w:hAnsi="仿宋" w:eastAsia="仿宋"/>
          <w:sz w:val="32"/>
          <w:szCs w:val="32"/>
        </w:rPr>
      </w:pPr>
      <w:r>
        <w:rPr>
          <w:rFonts w:hint="eastAsia" w:ascii="仿宋" w:hAnsi="仿宋" w:eastAsia="仿宋"/>
          <w:sz w:val="32"/>
          <w:szCs w:val="32"/>
        </w:rPr>
        <w:t>五、问题及建议</w:t>
      </w:r>
    </w:p>
    <w:p>
      <w:pPr>
        <w:adjustRightInd w:val="0"/>
        <w:snapToGrid w:val="0"/>
        <w:spacing w:line="560" w:lineRule="exact"/>
        <w:ind w:firstLine="720"/>
        <w:rPr>
          <w:rFonts w:ascii="仿宋" w:hAnsi="仿宋" w:eastAsia="仿宋"/>
          <w:b/>
          <w:sz w:val="32"/>
          <w:szCs w:val="32"/>
          <w:lang w:val="zh-CN"/>
        </w:rPr>
      </w:pPr>
      <w:r>
        <w:rPr>
          <w:rFonts w:hint="eastAsia" w:ascii="仿宋" w:hAnsi="仿宋" w:eastAsia="仿宋"/>
          <w:b/>
          <w:sz w:val="32"/>
          <w:szCs w:val="32"/>
          <w:lang w:val="zh-CN"/>
        </w:rPr>
        <w:t>（一）存在的问题。</w:t>
      </w:r>
      <w:r>
        <w:rPr>
          <w:rFonts w:hint="eastAsia" w:ascii="仿宋" w:hAnsi="仿宋" w:eastAsia="仿宋"/>
          <w:bCs/>
          <w:sz w:val="32"/>
          <w:szCs w:val="32"/>
          <w:lang w:val="zh-CN"/>
        </w:rPr>
        <w:t>从我局在项目开展过程、结果来看，我局均完成年初设定的绩效目标值，未发现相关问题；从资金使用情况看，由于我县财政本身较为紧张，执法经费保障不足，加剧了交通执法难度。</w:t>
      </w:r>
    </w:p>
    <w:p>
      <w:pPr>
        <w:spacing w:line="620" w:lineRule="exact"/>
        <w:rPr>
          <w:rFonts w:ascii="仿宋" w:hAnsi="仿宋" w:eastAsia="仿宋"/>
          <w:sz w:val="32"/>
          <w:szCs w:val="32"/>
        </w:rPr>
      </w:pPr>
      <w:r>
        <w:rPr>
          <w:rFonts w:hint="eastAsia" w:ascii="仿宋" w:hAnsi="仿宋" w:eastAsia="仿宋"/>
          <w:b/>
          <w:sz w:val="32"/>
          <w:szCs w:val="32"/>
          <w:lang w:val="zh-CN"/>
        </w:rPr>
        <w:t>（二）相关建议。</w:t>
      </w:r>
      <w:r>
        <w:rPr>
          <w:rFonts w:hint="eastAsia" w:ascii="仿宋" w:hAnsi="仿宋" w:eastAsia="仿宋"/>
          <w:bCs/>
          <w:sz w:val="32"/>
          <w:szCs w:val="32"/>
          <w:lang w:val="zh-CN"/>
        </w:rPr>
        <w:t>（</w:t>
      </w:r>
      <w:r>
        <w:rPr>
          <w:rFonts w:hint="eastAsia" w:ascii="仿宋" w:hAnsi="仿宋" w:eastAsia="仿宋"/>
          <w:sz w:val="32"/>
          <w:szCs w:val="32"/>
          <w:lang w:val="zh-CN"/>
        </w:rPr>
        <w:t>1）进一步加强督导，确保项目顺利实施。加强相关执法培训，不断提高队伍综合素质，进一步提升执法队伍的战斗力。同时加强电子信息化执法力度，加大执法创新力度，提高执法效率，大大提高绩效目标。</w:t>
      </w:r>
      <w:r>
        <w:rPr>
          <w:rFonts w:hint="eastAsia" w:ascii="仿宋" w:hAnsi="MS Mincho" w:eastAsia="MS Mincho" w:cs="MS Mincho"/>
          <w:sz w:val="32"/>
          <w:szCs w:val="32"/>
          <w:lang w:val="zh-CN"/>
        </w:rPr>
        <w:t>  </w:t>
      </w:r>
      <w:r>
        <w:rPr>
          <w:rFonts w:hint="eastAsia" w:ascii="仿宋" w:hAnsi="仿宋" w:eastAsia="仿宋" w:cs="仿宋"/>
          <w:sz w:val="32"/>
          <w:szCs w:val="32"/>
          <w:lang w:val="zh-CN"/>
        </w:rPr>
        <w:t>（</w:t>
      </w:r>
      <w:r>
        <w:rPr>
          <w:rFonts w:hint="eastAsia" w:ascii="仿宋" w:hAnsi="仿宋" w:eastAsia="仿宋"/>
          <w:sz w:val="32"/>
          <w:szCs w:val="32"/>
          <w:lang w:val="zh-CN"/>
        </w:rPr>
        <w:t>2）县财政应加大对我局交通执法办案经费的投入力度，以保障我局执法办案工作正常开展。</w:t>
      </w:r>
    </w:p>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6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4"/>
      <w:r>
        <w:rPr>
          <w:rStyle w:val="25"/>
          <w:rFonts w:hint="eastAsia" w:ascii="仿宋" w:hAnsi="仿宋" w:eastAsia="仿宋"/>
          <w:b w:val="0"/>
          <w:bCs w:val="0"/>
        </w:rPr>
        <w:t>五、</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7"/>
    </w:p>
    <w:p>
      <w:pPr>
        <w:pStyle w:val="3"/>
        <w:rPr>
          <w:rFonts w:ascii="仿宋" w:hAnsi="仿宋" w:eastAsia="仿宋"/>
          <w:color w:val="000000"/>
        </w:rPr>
      </w:pPr>
      <w:bookmarkStart w:id="68" w:name="_Toc15396626"/>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8"/>
    </w:p>
    <w:p>
      <w:pPr>
        <w:pStyle w:val="3"/>
        <w:rPr>
          <w:rFonts w:ascii="仿宋" w:hAnsi="仿宋" w:eastAsia="仿宋"/>
          <w:color w:val="000000"/>
        </w:rPr>
      </w:pPr>
      <w:bookmarkStart w:id="69" w:name="_Toc15396628"/>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5"/>
          <w:rFonts w:hint="eastAsia" w:ascii="仿宋" w:hAnsi="仿宋" w:eastAsia="仿宋"/>
          <w:b w:val="0"/>
          <w:bCs w:val="0"/>
        </w:rPr>
        <w:t>八、</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简体">
    <w:altName w:val="仿宋_GB2312"/>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U3YmRiMzJjMzU5MzdhY2U0MmIyMGFmOTIxYjNlMGUifQ=="/>
  </w:docVars>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C6779"/>
    <w:rsid w:val="000D1267"/>
    <w:rsid w:val="000D1D50"/>
    <w:rsid w:val="000D5782"/>
    <w:rsid w:val="000E6613"/>
    <w:rsid w:val="000E7119"/>
    <w:rsid w:val="00114E9B"/>
    <w:rsid w:val="001314FE"/>
    <w:rsid w:val="0014729F"/>
    <w:rsid w:val="00157BAB"/>
    <w:rsid w:val="001654D1"/>
    <w:rsid w:val="0018106D"/>
    <w:rsid w:val="001877A7"/>
    <w:rsid w:val="00190C8F"/>
    <w:rsid w:val="00191536"/>
    <w:rsid w:val="00196687"/>
    <w:rsid w:val="001A09C7"/>
    <w:rsid w:val="001B4A61"/>
    <w:rsid w:val="001C0962"/>
    <w:rsid w:val="001D7531"/>
    <w:rsid w:val="001E737D"/>
    <w:rsid w:val="001F0592"/>
    <w:rsid w:val="001F7506"/>
    <w:rsid w:val="002006CD"/>
    <w:rsid w:val="00202B36"/>
    <w:rsid w:val="00204B7A"/>
    <w:rsid w:val="0021101A"/>
    <w:rsid w:val="00220536"/>
    <w:rsid w:val="00235629"/>
    <w:rsid w:val="00236361"/>
    <w:rsid w:val="00260C38"/>
    <w:rsid w:val="002616C0"/>
    <w:rsid w:val="002662AA"/>
    <w:rsid w:val="00280496"/>
    <w:rsid w:val="00295495"/>
    <w:rsid w:val="002B20EC"/>
    <w:rsid w:val="002B2613"/>
    <w:rsid w:val="002B5E1C"/>
    <w:rsid w:val="002D6F3A"/>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AA4"/>
    <w:rsid w:val="003E6F55"/>
    <w:rsid w:val="004019EF"/>
    <w:rsid w:val="00406254"/>
    <w:rsid w:val="004223DE"/>
    <w:rsid w:val="00434489"/>
    <w:rsid w:val="00437085"/>
    <w:rsid w:val="00443880"/>
    <w:rsid w:val="004464F4"/>
    <w:rsid w:val="00461154"/>
    <w:rsid w:val="00471401"/>
    <w:rsid w:val="00473F31"/>
    <w:rsid w:val="0048263A"/>
    <w:rsid w:val="00487E5D"/>
    <w:rsid w:val="004A711F"/>
    <w:rsid w:val="004B199D"/>
    <w:rsid w:val="004B4690"/>
    <w:rsid w:val="004E0A2D"/>
    <w:rsid w:val="004E206B"/>
    <w:rsid w:val="004E6DF7"/>
    <w:rsid w:val="004F0FBD"/>
    <w:rsid w:val="00505A47"/>
    <w:rsid w:val="00512D67"/>
    <w:rsid w:val="00512FDA"/>
    <w:rsid w:val="00520DA0"/>
    <w:rsid w:val="00524A66"/>
    <w:rsid w:val="005664BB"/>
    <w:rsid w:val="0057481D"/>
    <w:rsid w:val="0058486E"/>
    <w:rsid w:val="005D1C8B"/>
    <w:rsid w:val="005D5CED"/>
    <w:rsid w:val="005F1A4C"/>
    <w:rsid w:val="005F7E8C"/>
    <w:rsid w:val="00605688"/>
    <w:rsid w:val="006070AF"/>
    <w:rsid w:val="00607E6C"/>
    <w:rsid w:val="006101B1"/>
    <w:rsid w:val="00614E44"/>
    <w:rsid w:val="006218F8"/>
    <w:rsid w:val="00622830"/>
    <w:rsid w:val="00630AEF"/>
    <w:rsid w:val="006325F8"/>
    <w:rsid w:val="00634C9A"/>
    <w:rsid w:val="006440E4"/>
    <w:rsid w:val="0066343B"/>
    <w:rsid w:val="00664777"/>
    <w:rsid w:val="006748A4"/>
    <w:rsid w:val="00683E73"/>
    <w:rsid w:val="006A2963"/>
    <w:rsid w:val="006A3141"/>
    <w:rsid w:val="006A5E34"/>
    <w:rsid w:val="006B2422"/>
    <w:rsid w:val="006B2B9A"/>
    <w:rsid w:val="006C1937"/>
    <w:rsid w:val="006E29B5"/>
    <w:rsid w:val="006F020C"/>
    <w:rsid w:val="007021AD"/>
    <w:rsid w:val="00705F3D"/>
    <w:rsid w:val="007127B7"/>
    <w:rsid w:val="007313A2"/>
    <w:rsid w:val="007416B6"/>
    <w:rsid w:val="00746F48"/>
    <w:rsid w:val="00747D14"/>
    <w:rsid w:val="0075404D"/>
    <w:rsid w:val="0076182A"/>
    <w:rsid w:val="00767B7E"/>
    <w:rsid w:val="0077173B"/>
    <w:rsid w:val="0077494E"/>
    <w:rsid w:val="007770C3"/>
    <w:rsid w:val="00784D24"/>
    <w:rsid w:val="00785FBA"/>
    <w:rsid w:val="00786283"/>
    <w:rsid w:val="00786E4A"/>
    <w:rsid w:val="007875EB"/>
    <w:rsid w:val="0079426B"/>
    <w:rsid w:val="00797D8F"/>
    <w:rsid w:val="007C104C"/>
    <w:rsid w:val="007D312A"/>
    <w:rsid w:val="007D3F19"/>
    <w:rsid w:val="007E23B0"/>
    <w:rsid w:val="007F1991"/>
    <w:rsid w:val="007F2C2F"/>
    <w:rsid w:val="007F55FC"/>
    <w:rsid w:val="007F5665"/>
    <w:rsid w:val="007F6BB5"/>
    <w:rsid w:val="00800112"/>
    <w:rsid w:val="008253BB"/>
    <w:rsid w:val="0083706E"/>
    <w:rsid w:val="008423A5"/>
    <w:rsid w:val="00850625"/>
    <w:rsid w:val="00853718"/>
    <w:rsid w:val="00855221"/>
    <w:rsid w:val="00860645"/>
    <w:rsid w:val="00871F71"/>
    <w:rsid w:val="00885AF4"/>
    <w:rsid w:val="0089081C"/>
    <w:rsid w:val="008939CD"/>
    <w:rsid w:val="008B19F5"/>
    <w:rsid w:val="008B768C"/>
    <w:rsid w:val="008C1B45"/>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24A7"/>
    <w:rsid w:val="00954C49"/>
    <w:rsid w:val="0097099F"/>
    <w:rsid w:val="00971997"/>
    <w:rsid w:val="00971FFC"/>
    <w:rsid w:val="0098660A"/>
    <w:rsid w:val="009931C3"/>
    <w:rsid w:val="009B2C43"/>
    <w:rsid w:val="009B4EAE"/>
    <w:rsid w:val="009B7573"/>
    <w:rsid w:val="009C22F4"/>
    <w:rsid w:val="009C2E98"/>
    <w:rsid w:val="009C69A5"/>
    <w:rsid w:val="009D3447"/>
    <w:rsid w:val="009D4711"/>
    <w:rsid w:val="009F1185"/>
    <w:rsid w:val="009F18CD"/>
    <w:rsid w:val="009F2A13"/>
    <w:rsid w:val="009F2C02"/>
    <w:rsid w:val="00A04EB0"/>
    <w:rsid w:val="00A13CC1"/>
    <w:rsid w:val="00A16847"/>
    <w:rsid w:val="00A237D8"/>
    <w:rsid w:val="00A268C4"/>
    <w:rsid w:val="00A3037A"/>
    <w:rsid w:val="00A307CD"/>
    <w:rsid w:val="00A40A00"/>
    <w:rsid w:val="00A4142F"/>
    <w:rsid w:val="00A56DF2"/>
    <w:rsid w:val="00A67AB5"/>
    <w:rsid w:val="00A91760"/>
    <w:rsid w:val="00A93B00"/>
    <w:rsid w:val="00A93C21"/>
    <w:rsid w:val="00AC3C6A"/>
    <w:rsid w:val="00AD0B02"/>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24598"/>
    <w:rsid w:val="00C33E72"/>
    <w:rsid w:val="00C354B2"/>
    <w:rsid w:val="00C35554"/>
    <w:rsid w:val="00C42709"/>
    <w:rsid w:val="00C512FE"/>
    <w:rsid w:val="00C533CC"/>
    <w:rsid w:val="00C5751C"/>
    <w:rsid w:val="00C61BFC"/>
    <w:rsid w:val="00C62B85"/>
    <w:rsid w:val="00C65438"/>
    <w:rsid w:val="00C91CBB"/>
    <w:rsid w:val="00CA2273"/>
    <w:rsid w:val="00CC09B6"/>
    <w:rsid w:val="00CC666F"/>
    <w:rsid w:val="00CD1E3F"/>
    <w:rsid w:val="00CD6BA1"/>
    <w:rsid w:val="00CE44F6"/>
    <w:rsid w:val="00CE49DA"/>
    <w:rsid w:val="00CE7B61"/>
    <w:rsid w:val="00D00095"/>
    <w:rsid w:val="00D11960"/>
    <w:rsid w:val="00D15DC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749A6"/>
    <w:rsid w:val="00F81FD9"/>
    <w:rsid w:val="00F841AA"/>
    <w:rsid w:val="00FA23E8"/>
    <w:rsid w:val="00FC306E"/>
    <w:rsid w:val="00FD3CC1"/>
    <w:rsid w:val="00FF1E02"/>
    <w:rsid w:val="00FF30B4"/>
    <w:rsid w:val="10C055FF"/>
    <w:rsid w:val="16BB723D"/>
    <w:rsid w:val="240371BF"/>
    <w:rsid w:val="29FD04D3"/>
    <w:rsid w:val="2FA9108D"/>
    <w:rsid w:val="319F7F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character" w:customStyle="1" w:styleId="29">
    <w:name w:val="四号正文 Char"/>
    <w:link w:val="30"/>
    <w:locked/>
    <w:uiPriority w:val="0"/>
    <w:rPr>
      <w:rFonts w:ascii="??" w:hAnsi="??"/>
      <w:color w:val="000000"/>
      <w:sz w:val="21"/>
    </w:rPr>
  </w:style>
  <w:style w:type="paragraph" w:customStyle="1" w:styleId="30">
    <w:name w:val="四号正文"/>
    <w:basedOn w:val="1"/>
    <w:link w:val="29"/>
    <w:qFormat/>
    <w:uiPriority w:val="0"/>
    <w:pPr>
      <w:spacing w:line="360" w:lineRule="auto"/>
    </w:pPr>
    <w:rPr>
      <w:rFonts w:ascii="??" w:hAnsi="??"/>
      <w:color w:val="000000"/>
      <w:kern w:val="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delete val="1"/>
          </c:dLbls>
          <c:cat>
            <c:strRef>
              <c:f>Sheet1!$A$2:$A$3</c:f>
              <c:strCache>
                <c:ptCount val="2"/>
                <c:pt idx="0">
                  <c:v>收入</c:v>
                </c:pt>
                <c:pt idx="1">
                  <c:v>支出</c:v>
                </c:pt>
              </c:strCache>
            </c:strRef>
          </c:cat>
          <c:val>
            <c:numRef>
              <c:f>Sheet1!$B$2:$B$3</c:f>
              <c:numCache>
                <c:formatCode>General</c:formatCode>
                <c:ptCount val="2"/>
                <c:pt idx="0">
                  <c:v>1690.36</c:v>
                </c:pt>
                <c:pt idx="1">
                  <c:v>1690.36</c:v>
                </c:pt>
              </c:numCache>
            </c:numRef>
          </c:val>
        </c:ser>
        <c:ser>
          <c:idx val="1"/>
          <c:order val="1"/>
          <c:tx>
            <c:strRef>
              <c:f>Sheet1!$C$1</c:f>
              <c:strCache>
                <c:ptCount val="1"/>
                <c:pt idx="0">
                  <c:v>2019年</c:v>
                </c:pt>
              </c:strCache>
            </c:strRef>
          </c:tx>
          <c:spPr>
            <a:solidFill>
              <a:schemeClr val="accent2"/>
            </a:solidFill>
            <a:ln>
              <a:noFill/>
            </a:ln>
            <a:effectLst/>
          </c:spPr>
          <c:invertIfNegative val="0"/>
          <c:dLbls>
            <c:delete val="1"/>
          </c:dLbls>
          <c:cat>
            <c:strRef>
              <c:f>Sheet1!$A$2:$A$3</c:f>
              <c:strCache>
                <c:ptCount val="2"/>
                <c:pt idx="0">
                  <c:v>收入</c:v>
                </c:pt>
                <c:pt idx="1">
                  <c:v>支出</c:v>
                </c:pt>
              </c:strCache>
            </c:strRef>
          </c:cat>
          <c:val>
            <c:numRef>
              <c:f>Sheet1!$C$2:$C$3</c:f>
              <c:numCache>
                <c:formatCode>General</c:formatCode>
                <c:ptCount val="2"/>
                <c:pt idx="0">
                  <c:v>1505.6</c:v>
                </c:pt>
                <c:pt idx="1">
                  <c:v>1505.6</c:v>
                </c:pt>
              </c:numCache>
            </c:numRef>
          </c:val>
        </c:ser>
        <c:dLbls>
          <c:showLegendKey val="0"/>
          <c:showVal val="0"/>
          <c:showCatName val="0"/>
          <c:showSerName val="0"/>
          <c:showPercent val="0"/>
          <c:showBubbleSize val="0"/>
        </c:dLbls>
        <c:gapWidth val="219"/>
        <c:overlap val="-27"/>
        <c:axId val="110539904"/>
        <c:axId val="110541824"/>
      </c:barChart>
      <c:catAx>
        <c:axId val="11053990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0541824"/>
        <c:crosses val="autoZero"/>
        <c:auto val="1"/>
        <c:lblAlgn val="ctr"/>
        <c:lblOffset val="100"/>
        <c:noMultiLvlLbl val="0"/>
      </c:catAx>
      <c:valAx>
        <c:axId val="1105418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05399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收入额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1"/>
                <c:pt idx="0">
                  <c:v>一般公共预算财政拨款</c:v>
                </c:pt>
              </c:strCache>
            </c:strRef>
          </c:cat>
          <c:val>
            <c:numRef>
              <c:f>Sheet1!$B$2:$B$3</c:f>
              <c:numCache>
                <c:formatCode>General</c:formatCode>
                <c:ptCount val="2"/>
                <c:pt idx="0">
                  <c:v>1505.6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3600734118761"/>
          <c:y val="0"/>
          <c:w val="0.519381393115334"/>
          <c:h val="0.7759604687457"/>
        </c:manualLayout>
      </c:layout>
      <c:pieChart>
        <c:varyColors val="1"/>
        <c:ser>
          <c:idx val="0"/>
          <c:order val="0"/>
          <c:tx>
            <c:strRef>
              <c:f>Sheet1!$B$1</c:f>
              <c:strCache>
                <c:ptCount val="1"/>
                <c:pt idx="0">
                  <c:v>收入额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基本支出</c:v>
                </c:pt>
                <c:pt idx="1">
                  <c:v>项目支出</c:v>
                </c:pt>
              </c:strCache>
            </c:strRef>
          </c:cat>
          <c:val>
            <c:numRef>
              <c:f>Sheet1!$B$2:$B$3</c:f>
              <c:numCache>
                <c:formatCode>General</c:formatCode>
                <c:ptCount val="2"/>
                <c:pt idx="0">
                  <c:v>772.93</c:v>
                </c:pt>
                <c:pt idx="1">
                  <c:v>732.67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delete val="1"/>
          </c:dLbls>
          <c:cat>
            <c:strRef>
              <c:f>Sheet1!$A$2:$A$3</c:f>
              <c:strCache>
                <c:ptCount val="2"/>
                <c:pt idx="0">
                  <c:v>收入</c:v>
                </c:pt>
                <c:pt idx="1">
                  <c:v>支出</c:v>
                </c:pt>
              </c:strCache>
            </c:strRef>
          </c:cat>
          <c:val>
            <c:numRef>
              <c:f>Sheet1!$B$2:$B$3</c:f>
              <c:numCache>
                <c:formatCode>General</c:formatCode>
                <c:ptCount val="2"/>
                <c:pt idx="0">
                  <c:v>1690.36</c:v>
                </c:pt>
                <c:pt idx="1">
                  <c:v>1690.36</c:v>
                </c:pt>
              </c:numCache>
            </c:numRef>
          </c:val>
        </c:ser>
        <c:ser>
          <c:idx val="1"/>
          <c:order val="1"/>
          <c:tx>
            <c:strRef>
              <c:f>Sheet1!$C$1</c:f>
              <c:strCache>
                <c:ptCount val="1"/>
                <c:pt idx="0">
                  <c:v>2019年</c:v>
                </c:pt>
              </c:strCache>
            </c:strRef>
          </c:tx>
          <c:spPr>
            <a:solidFill>
              <a:schemeClr val="accent2"/>
            </a:solidFill>
            <a:ln>
              <a:noFill/>
            </a:ln>
            <a:effectLst/>
          </c:spPr>
          <c:invertIfNegative val="0"/>
          <c:dLbls>
            <c:delete val="1"/>
          </c:dLbls>
          <c:cat>
            <c:strRef>
              <c:f>Sheet1!$A$2:$A$3</c:f>
              <c:strCache>
                <c:ptCount val="2"/>
                <c:pt idx="0">
                  <c:v>收入</c:v>
                </c:pt>
                <c:pt idx="1">
                  <c:v>支出</c:v>
                </c:pt>
              </c:strCache>
            </c:strRef>
          </c:cat>
          <c:val>
            <c:numRef>
              <c:f>Sheet1!$C$2:$C$3</c:f>
              <c:numCache>
                <c:formatCode>General</c:formatCode>
                <c:ptCount val="2"/>
                <c:pt idx="0">
                  <c:v>1505.6</c:v>
                </c:pt>
                <c:pt idx="1">
                  <c:v>1505.6</c:v>
                </c:pt>
              </c:numCache>
            </c:numRef>
          </c:val>
        </c:ser>
        <c:dLbls>
          <c:showLegendKey val="0"/>
          <c:showVal val="0"/>
          <c:showCatName val="0"/>
          <c:showSerName val="0"/>
          <c:showPercent val="0"/>
          <c:showBubbleSize val="0"/>
        </c:dLbls>
        <c:gapWidth val="219"/>
        <c:overlap val="-27"/>
        <c:axId val="122817152"/>
        <c:axId val="122821632"/>
      </c:barChart>
      <c:catAx>
        <c:axId val="12281715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2821632"/>
        <c:crosses val="autoZero"/>
        <c:auto val="1"/>
        <c:lblAlgn val="ctr"/>
        <c:lblOffset val="100"/>
        <c:noMultiLvlLbl val="0"/>
      </c:catAx>
      <c:valAx>
        <c:axId val="1228216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28171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delete val="1"/>
          </c:dLbls>
          <c:cat>
            <c:strRef>
              <c:f>Sheet1!$A$2:$A$3</c:f>
              <c:strCache>
                <c:ptCount val="2"/>
                <c:pt idx="0">
                  <c:v>收入</c:v>
                </c:pt>
                <c:pt idx="1">
                  <c:v>支出</c:v>
                </c:pt>
              </c:strCache>
            </c:strRef>
          </c:cat>
          <c:val>
            <c:numRef>
              <c:f>Sheet1!$B$2:$B$3</c:f>
              <c:numCache>
                <c:formatCode>General</c:formatCode>
                <c:ptCount val="2"/>
                <c:pt idx="0">
                  <c:v>1690.36</c:v>
                </c:pt>
                <c:pt idx="1">
                  <c:v>1690.36</c:v>
                </c:pt>
              </c:numCache>
            </c:numRef>
          </c:val>
        </c:ser>
        <c:ser>
          <c:idx val="1"/>
          <c:order val="1"/>
          <c:tx>
            <c:strRef>
              <c:f>Sheet1!$C$1</c:f>
              <c:strCache>
                <c:ptCount val="1"/>
                <c:pt idx="0">
                  <c:v>2019年</c:v>
                </c:pt>
              </c:strCache>
            </c:strRef>
          </c:tx>
          <c:spPr>
            <a:solidFill>
              <a:schemeClr val="accent2"/>
            </a:solidFill>
            <a:ln>
              <a:noFill/>
            </a:ln>
            <a:effectLst/>
          </c:spPr>
          <c:invertIfNegative val="0"/>
          <c:dLbls>
            <c:delete val="1"/>
          </c:dLbls>
          <c:cat>
            <c:strRef>
              <c:f>Sheet1!$A$2:$A$3</c:f>
              <c:strCache>
                <c:ptCount val="2"/>
                <c:pt idx="0">
                  <c:v>收入</c:v>
                </c:pt>
                <c:pt idx="1">
                  <c:v>支出</c:v>
                </c:pt>
              </c:strCache>
            </c:strRef>
          </c:cat>
          <c:val>
            <c:numRef>
              <c:f>Sheet1!$C$2:$C$3</c:f>
              <c:numCache>
                <c:formatCode>General</c:formatCode>
                <c:ptCount val="2"/>
                <c:pt idx="0">
                  <c:v>1505.6</c:v>
                </c:pt>
                <c:pt idx="1">
                  <c:v>1505.6</c:v>
                </c:pt>
              </c:numCache>
            </c:numRef>
          </c:val>
        </c:ser>
        <c:dLbls>
          <c:showLegendKey val="0"/>
          <c:showVal val="0"/>
          <c:showCatName val="0"/>
          <c:showSerName val="0"/>
          <c:showPercent val="0"/>
          <c:showBubbleSize val="0"/>
        </c:dLbls>
        <c:gapWidth val="219"/>
        <c:overlap val="-27"/>
        <c:axId val="143985664"/>
        <c:axId val="143998976"/>
      </c:barChart>
      <c:catAx>
        <c:axId val="14398566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3998976"/>
        <c:crosses val="autoZero"/>
        <c:auto val="1"/>
        <c:lblAlgn val="ctr"/>
        <c:lblOffset val="100"/>
        <c:noMultiLvlLbl val="0"/>
      </c:catAx>
      <c:valAx>
        <c:axId val="1439989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39856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列2</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elete val="1"/>
          </c:dLbls>
          <c:cat>
            <c:strRef>
              <c:f>Sheet1!$A$2:$A$7</c:f>
              <c:strCache>
                <c:ptCount val="5"/>
                <c:pt idx="0">
                  <c:v>社会保障和就业支出</c:v>
                </c:pt>
                <c:pt idx="1">
                  <c:v>卫生健康支出</c:v>
                </c:pt>
                <c:pt idx="2">
                  <c:v>交通运输支出</c:v>
                </c:pt>
                <c:pt idx="3">
                  <c:v>住房保障支出</c:v>
                </c:pt>
                <c:pt idx="4">
                  <c:v>节能环保支出</c:v>
                </c:pt>
              </c:strCache>
            </c:strRef>
          </c:cat>
          <c:val>
            <c:numRef>
              <c:f>Sheet1!$B$2:$B$7</c:f>
              <c:numCache>
                <c:formatCode>General</c:formatCode>
                <c:ptCount val="6"/>
                <c:pt idx="0">
                  <c:v>81.24</c:v>
                </c:pt>
                <c:pt idx="1">
                  <c:v>37.1</c:v>
                </c:pt>
                <c:pt idx="2">
                  <c:v>1258.75</c:v>
                </c:pt>
                <c:pt idx="3">
                  <c:v>39.51</c:v>
                </c:pt>
                <c:pt idx="4">
                  <c:v>89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5</c:v>
                </c:pt>
                <c:pt idx="2">
                  <c:v>0.6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91"/>
          <c:y val="0.885341846235705"/>
          <c:w val="0.707125000000004"/>
          <c:h val="0.088587390263368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8320</Words>
  <Characters>8918</Characters>
  <Lines>65</Lines>
  <Paragraphs>18</Paragraphs>
  <TotalTime>384</TotalTime>
  <ScaleCrop>false</ScaleCrop>
  <LinksUpToDate>false</LinksUpToDate>
  <CharactersWithSpaces>8950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HASEE</cp:lastModifiedBy>
  <cp:lastPrinted>2019-08-01T00:48:00Z</cp:lastPrinted>
  <dcterms:modified xsi:type="dcterms:W3CDTF">2023-08-12T03:35:46Z</dcterms:modified>
  <dc:title>四川省***</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1F4570C5AD22406C8A67DF50D7B01333_12</vt:lpwstr>
  </property>
</Properties>
</file>