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both"/>
        <w:outlineLvl w:val="0"/>
        <w:rPr>
          <w:rFonts w:hint="eastAsia" w:ascii="方正小标宋简体" w:hAnsi="宋体" w:eastAsia="方正小标宋简体"/>
          <w:b/>
          <w:color w:val="000000"/>
          <w:sz w:val="52"/>
          <w:szCs w:val="52"/>
        </w:rPr>
      </w:pPr>
    </w:p>
    <w:p>
      <w:pPr>
        <w:adjustRightInd w:val="0"/>
        <w:snapToGrid w:val="0"/>
        <w:spacing w:line="360" w:lineRule="auto"/>
        <w:jc w:val="center"/>
        <w:outlineLvl w:val="0"/>
        <w:rPr>
          <w:rFonts w:hint="eastAsia" w:ascii="方正小标宋简体" w:hAnsi="宋体" w:eastAsia="方正小标宋简体"/>
          <w:b/>
          <w:color w:val="000000"/>
          <w:sz w:val="52"/>
          <w:szCs w:val="52"/>
        </w:rPr>
      </w:pPr>
    </w:p>
    <w:p>
      <w:pPr>
        <w:adjustRightInd w:val="0"/>
        <w:snapToGrid w:val="0"/>
        <w:spacing w:line="360" w:lineRule="auto"/>
        <w:jc w:val="center"/>
        <w:outlineLvl w:val="0"/>
        <w:rPr>
          <w:rFonts w:hint="eastAsia" w:ascii="方正小标宋简体" w:hAnsi="宋体" w:eastAsia="方正小标宋简体"/>
          <w:b/>
          <w:color w:val="000000"/>
          <w:sz w:val="52"/>
          <w:szCs w:val="52"/>
        </w:rPr>
      </w:pPr>
    </w:p>
    <w:p>
      <w:pPr>
        <w:adjustRightInd w:val="0"/>
        <w:snapToGrid w:val="0"/>
        <w:spacing w:line="360" w:lineRule="auto"/>
        <w:jc w:val="center"/>
        <w:outlineLvl w:val="0"/>
        <w:rPr>
          <w:rFonts w:ascii="方正小标宋简体" w:hAnsi="宋体" w:eastAsia="方正小标宋简体"/>
          <w:color w:val="000000"/>
          <w:sz w:val="72"/>
          <w:szCs w:val="72"/>
        </w:rPr>
      </w:pPr>
      <w:r>
        <w:rPr>
          <w:rFonts w:ascii="黑体" w:hAnsi="黑体" w:eastAsia="黑体"/>
          <w:color w:val="000000"/>
          <w:sz w:val="72"/>
          <w:szCs w:val="72"/>
        </w:rPr>
        <w:t>202</w:t>
      </w:r>
      <w:r>
        <w:rPr>
          <w:rFonts w:hint="eastAsia" w:ascii="黑体" w:hAnsi="黑体" w:eastAsia="黑体"/>
          <w:color w:val="000000"/>
          <w:sz w:val="72"/>
          <w:szCs w:val="72"/>
          <w:lang w:val="en-US" w:eastAsia="zh-CN"/>
        </w:rPr>
        <w:t>1</w:t>
      </w:r>
      <w:r>
        <w:rPr>
          <w:rFonts w:hint="eastAsia" w:ascii="方正小标宋简体" w:hAnsi="宋体" w:eastAsia="方正小标宋简体"/>
          <w:color w:val="000000"/>
          <w:sz w:val="72"/>
          <w:szCs w:val="72"/>
        </w:rPr>
        <w:t>年度</w:t>
      </w:r>
    </w:p>
    <w:p>
      <w:pPr>
        <w:adjustRightInd w:val="0"/>
        <w:snapToGrid w:val="0"/>
        <w:spacing w:line="360" w:lineRule="auto"/>
        <w:jc w:val="center"/>
        <w:outlineLvl w:val="0"/>
        <w:rPr>
          <w:rFonts w:ascii="方正小标宋简体" w:hAnsi="宋体" w:eastAsia="方正小标宋简体"/>
          <w:color w:val="000000"/>
          <w:sz w:val="72"/>
          <w:szCs w:val="72"/>
        </w:rPr>
      </w:pPr>
      <w:r>
        <w:rPr>
          <w:rFonts w:hint="eastAsia" w:ascii="方正小标宋简体" w:hAnsi="宋体" w:eastAsia="方正小标宋简体"/>
          <w:color w:val="000000"/>
          <w:sz w:val="72"/>
          <w:szCs w:val="72"/>
        </w:rPr>
        <w:t>四川省</w:t>
      </w:r>
      <w:r>
        <w:rPr>
          <w:rFonts w:hint="eastAsia" w:ascii="方正小标宋简体" w:hAnsi="宋体" w:eastAsia="方正小标宋简体"/>
          <w:color w:val="000000"/>
          <w:sz w:val="72"/>
          <w:szCs w:val="72"/>
          <w:lang w:val="en-US" w:eastAsia="zh-CN"/>
        </w:rPr>
        <w:t>南江县人民检察院</w:t>
      </w:r>
      <w:r>
        <w:rPr>
          <w:rFonts w:hint="eastAsia" w:ascii="方正小标宋简体" w:hAnsi="宋体" w:eastAsia="方正小标宋简体"/>
          <w:color w:val="000000"/>
          <w:sz w:val="72"/>
          <w:szCs w:val="72"/>
        </w:rPr>
        <w:t>部门决算</w:t>
      </w:r>
    </w:p>
    <w:p>
      <w:pPr>
        <w:widowControl/>
        <w:jc w:val="center"/>
        <w:rPr>
          <w:rFonts w:ascii="黑体" w:hAnsi="黑体" w:eastAsia="黑体"/>
          <w:color w:val="000000"/>
          <w:sz w:val="48"/>
          <w:szCs w:val="48"/>
        </w:rPr>
      </w:pPr>
      <w:r>
        <w:rPr>
          <w:rFonts w:ascii="方正小标宋简体" w:hAnsi="宋体" w:eastAsia="方正小标宋简体"/>
          <w:color w:val="000000"/>
          <w:sz w:val="36"/>
          <w:szCs w:val="36"/>
        </w:rPr>
        <w:br w:type="page"/>
      </w:r>
      <w:r>
        <w:rPr>
          <w:rFonts w:hint="eastAsia" w:ascii="黑体" w:hAnsi="黑体" w:eastAsia="黑体"/>
          <w:color w:val="000000"/>
          <w:sz w:val="48"/>
          <w:szCs w:val="48"/>
        </w:rPr>
        <w:t>目录</w:t>
      </w:r>
    </w:p>
    <w:p>
      <w:pPr>
        <w:widowControl/>
        <w:jc w:val="center"/>
        <w:rPr>
          <w:rFonts w:ascii="黑体" w:hAnsi="黑体" w:eastAsia="黑体"/>
          <w:sz w:val="28"/>
          <w:szCs w:val="28"/>
        </w:rPr>
      </w:pPr>
    </w:p>
    <w:p>
      <w:pPr>
        <w:pStyle w:val="10"/>
      </w:pPr>
      <w:r>
        <w:rPr>
          <w:rFonts w:hint="eastAsia"/>
        </w:rPr>
        <w:t>公开时间：</w:t>
      </w:r>
      <w:r>
        <w:t>202</w:t>
      </w:r>
      <w:r>
        <w:rPr>
          <w:rFonts w:hint="eastAsia"/>
          <w:lang w:val="en-US" w:eastAsia="zh-CN"/>
        </w:rPr>
        <w:t>2</w:t>
      </w:r>
      <w:r>
        <w:rPr>
          <w:rFonts w:hint="eastAsia"/>
        </w:rPr>
        <w:t>年</w:t>
      </w:r>
      <w:r>
        <w:rPr>
          <w:rFonts w:hint="eastAsia"/>
          <w:lang w:val="en-US" w:eastAsia="zh-CN"/>
        </w:rPr>
        <w:t>9</w:t>
      </w:r>
      <w:r>
        <w:rPr>
          <w:rFonts w:hint="eastAsia"/>
        </w:rPr>
        <w:t>月</w:t>
      </w:r>
      <w:r>
        <w:rPr>
          <w:rFonts w:hint="eastAsia"/>
          <w:lang w:val="en-US" w:eastAsia="zh-CN"/>
        </w:rPr>
        <w:t>1</w:t>
      </w:r>
      <w:r>
        <w:rPr>
          <w:rFonts w:hint="eastAsia"/>
        </w:rPr>
        <w:t>日</w:t>
      </w:r>
    </w:p>
    <w:p/>
    <w:p>
      <w:pPr>
        <w:pStyle w:val="10"/>
        <w:adjustRightInd w:val="0"/>
        <w:snapToGrid w:val="0"/>
        <w:spacing w:before="0" w:line="440" w:lineRule="exact"/>
        <w:jc w:val="left"/>
        <w:rPr>
          <w:rFonts w:hint="default" w:eastAsia="仿宋"/>
          <w:sz w:val="24"/>
          <w:szCs w:val="24"/>
          <w:lang w:val="en-US" w:eastAsia="zh-CN"/>
        </w:rPr>
      </w:pPr>
      <w:r>
        <w:rPr>
          <w:rFonts w:hint="eastAsia"/>
          <w:sz w:val="24"/>
        </w:rPr>
        <w:t>第一部分</w:t>
      </w:r>
      <w:r>
        <w:rPr>
          <w:sz w:val="24"/>
        </w:rPr>
        <w:t xml:space="preserve"> </w:t>
      </w:r>
      <w:r>
        <w:rPr>
          <w:rFonts w:hint="eastAsia"/>
          <w:sz w:val="24"/>
        </w:rPr>
        <w:t>部门概况</w:t>
      </w:r>
      <w:r>
        <w:rPr>
          <w:rFonts w:hint="eastAsia" w:ascii="Times New Roman" w:hAnsi="Times New Roman" w:eastAsia="宋体" w:cs="Times New Roman"/>
          <w:kern w:val="2"/>
          <w:sz w:val="24"/>
          <w:szCs w:val="24"/>
          <w:lang w:val="en-US" w:eastAsia="zh-CN" w:bidi="ar-SA"/>
        </w:rPr>
        <w:t>.............................................................................................3</w:t>
      </w:r>
    </w:p>
    <w:p>
      <w:pPr>
        <w:pStyle w:val="11"/>
        <w:adjustRightInd w:val="0"/>
        <w:snapToGrid w:val="0"/>
        <w:spacing w:line="440" w:lineRule="exact"/>
        <w:jc w:val="left"/>
        <w:rPr>
          <w:rFonts w:hint="default" w:ascii="仿宋" w:hAnsi="仿宋" w:eastAsia="宋体"/>
          <w:sz w:val="24"/>
          <w:lang w:val="en-US" w:eastAsia="zh-CN"/>
        </w:rPr>
      </w:pPr>
      <w:r>
        <w:rPr>
          <w:rFonts w:hint="eastAsia"/>
          <w:sz w:val="24"/>
        </w:rPr>
        <w:t>一、基本职能及主要工作</w:t>
      </w:r>
      <w:r>
        <w:rPr>
          <w:rFonts w:hint="eastAsia"/>
          <w:sz w:val="24"/>
          <w:lang w:val="en-US" w:eastAsia="zh-CN"/>
        </w:rPr>
        <w:t>............................................................................3</w:t>
      </w:r>
    </w:p>
    <w:p>
      <w:pPr>
        <w:pStyle w:val="11"/>
        <w:adjustRightInd w:val="0"/>
        <w:snapToGrid w:val="0"/>
        <w:spacing w:line="440" w:lineRule="exact"/>
        <w:jc w:val="left"/>
        <w:rPr>
          <w:rFonts w:hint="default" w:ascii="仿宋" w:hAnsi="仿宋" w:eastAsia="宋体"/>
          <w:sz w:val="24"/>
          <w:lang w:val="en-US" w:eastAsia="zh-CN"/>
        </w:rPr>
      </w:pPr>
      <w:r>
        <w:rPr>
          <w:rFonts w:hint="eastAsia"/>
          <w:sz w:val="24"/>
        </w:rPr>
        <w:t>二、机构设置</w:t>
      </w:r>
      <w:r>
        <w:rPr>
          <w:rFonts w:hint="eastAsia"/>
          <w:sz w:val="24"/>
          <w:lang w:val="en-US" w:eastAsia="zh-CN"/>
        </w:rPr>
        <w:t>.................................................................................................5</w:t>
      </w:r>
    </w:p>
    <w:p>
      <w:pPr>
        <w:pStyle w:val="10"/>
        <w:adjustRightInd w:val="0"/>
        <w:snapToGrid w:val="0"/>
        <w:spacing w:before="0" w:line="440" w:lineRule="exact"/>
        <w:jc w:val="left"/>
        <w:rPr>
          <w:rFonts w:hint="default" w:ascii="Times New Roman" w:hAnsi="Times New Roman" w:eastAsia="宋体" w:cs="Times New Roman"/>
          <w:kern w:val="2"/>
          <w:sz w:val="24"/>
          <w:szCs w:val="24"/>
          <w:lang w:val="en-US" w:eastAsia="zh-CN" w:bidi="ar-SA"/>
        </w:rPr>
      </w:pPr>
      <w:r>
        <w:rPr>
          <w:rFonts w:hint="eastAsia"/>
          <w:sz w:val="24"/>
        </w:rPr>
        <w:t>第二部分度部门决算情况说明</w:t>
      </w:r>
      <w:r>
        <w:rPr>
          <w:rFonts w:hint="eastAsia" w:ascii="Times New Roman" w:hAnsi="Times New Roman" w:eastAsia="宋体" w:cs="Times New Roman"/>
          <w:kern w:val="2"/>
          <w:sz w:val="24"/>
          <w:szCs w:val="24"/>
          <w:lang w:val="en-US" w:eastAsia="zh-CN" w:bidi="ar-SA"/>
        </w:rPr>
        <w:t>............................................................................5</w:t>
      </w:r>
    </w:p>
    <w:p>
      <w:pPr>
        <w:pStyle w:val="11"/>
        <w:adjustRightInd w:val="0"/>
        <w:snapToGrid w:val="0"/>
        <w:spacing w:line="440" w:lineRule="exact"/>
        <w:jc w:val="left"/>
        <w:rPr>
          <w:rFonts w:hint="default" w:ascii="仿宋" w:hAnsi="仿宋" w:eastAsia="宋体"/>
          <w:sz w:val="24"/>
          <w:lang w:val="en-US" w:eastAsia="zh-CN"/>
        </w:rPr>
      </w:pPr>
      <w:r>
        <w:rPr>
          <w:rFonts w:hint="eastAsia"/>
          <w:sz w:val="24"/>
        </w:rPr>
        <w:t>一、收入支出决算总体情况说明</w:t>
      </w:r>
      <w:r>
        <w:rPr>
          <w:rFonts w:hint="eastAsia"/>
          <w:sz w:val="24"/>
          <w:lang w:val="en-US" w:eastAsia="zh-CN"/>
        </w:rPr>
        <w:t>.................................................................5</w:t>
      </w:r>
    </w:p>
    <w:p>
      <w:pPr>
        <w:pStyle w:val="11"/>
        <w:adjustRightInd w:val="0"/>
        <w:snapToGrid w:val="0"/>
        <w:spacing w:line="440" w:lineRule="exact"/>
        <w:jc w:val="left"/>
        <w:rPr>
          <w:rFonts w:hint="default" w:ascii="仿宋" w:hAnsi="仿宋" w:eastAsia="宋体"/>
          <w:sz w:val="24"/>
          <w:lang w:val="en-US" w:eastAsia="zh-CN"/>
        </w:rPr>
      </w:pPr>
      <w:r>
        <w:rPr>
          <w:rFonts w:hint="eastAsia"/>
          <w:sz w:val="24"/>
        </w:rPr>
        <w:t>二、收入决算情况说明</w:t>
      </w:r>
      <w:r>
        <w:rPr>
          <w:rFonts w:hint="eastAsia"/>
          <w:sz w:val="24"/>
          <w:lang w:val="en-US" w:eastAsia="zh-CN"/>
        </w:rPr>
        <w:t>.................................................................................6</w:t>
      </w:r>
    </w:p>
    <w:p>
      <w:pPr>
        <w:pStyle w:val="11"/>
        <w:adjustRightInd w:val="0"/>
        <w:snapToGrid w:val="0"/>
        <w:spacing w:line="440" w:lineRule="exact"/>
        <w:jc w:val="left"/>
        <w:rPr>
          <w:rFonts w:hint="default"/>
          <w:sz w:val="24"/>
          <w:lang w:val="en-US" w:eastAsia="zh-CN"/>
        </w:rPr>
      </w:pPr>
      <w:r>
        <w:rPr>
          <w:rFonts w:hint="eastAsia"/>
          <w:sz w:val="24"/>
        </w:rPr>
        <w:t>三、支出决算情况说明</w:t>
      </w:r>
      <w:r>
        <w:rPr>
          <w:rFonts w:hint="eastAsia"/>
          <w:sz w:val="24"/>
          <w:lang w:val="en-US" w:eastAsia="zh-CN"/>
        </w:rPr>
        <w:t>.................................................................................7</w:t>
      </w:r>
    </w:p>
    <w:p>
      <w:pPr>
        <w:pStyle w:val="11"/>
        <w:adjustRightInd w:val="0"/>
        <w:snapToGrid w:val="0"/>
        <w:spacing w:line="440" w:lineRule="exact"/>
        <w:jc w:val="left"/>
        <w:rPr>
          <w:rFonts w:hint="default" w:ascii="仿宋" w:hAnsi="仿宋" w:eastAsia="宋体"/>
          <w:sz w:val="24"/>
          <w:lang w:val="en-US" w:eastAsia="zh-CN"/>
        </w:rPr>
      </w:pPr>
      <w:r>
        <w:rPr>
          <w:rFonts w:hint="eastAsia"/>
          <w:sz w:val="24"/>
        </w:rPr>
        <w:t>四、财政拨款收入支出决算总体情况说明</w:t>
      </w:r>
      <w:r>
        <w:rPr>
          <w:rFonts w:hint="eastAsia"/>
          <w:sz w:val="24"/>
          <w:lang w:val="en-US" w:eastAsia="zh-CN"/>
        </w:rPr>
        <w:t>.................................................8</w:t>
      </w:r>
    </w:p>
    <w:p>
      <w:pPr>
        <w:pStyle w:val="11"/>
        <w:adjustRightInd w:val="0"/>
        <w:snapToGrid w:val="0"/>
        <w:spacing w:line="440" w:lineRule="exact"/>
        <w:jc w:val="left"/>
        <w:rPr>
          <w:rFonts w:hint="default" w:ascii="仿宋" w:hAnsi="仿宋" w:eastAsia="宋体"/>
          <w:sz w:val="24"/>
          <w:lang w:val="en-US" w:eastAsia="zh-CN"/>
        </w:rPr>
      </w:pPr>
      <w:r>
        <w:rPr>
          <w:rFonts w:hint="eastAsia"/>
          <w:sz w:val="24"/>
        </w:rPr>
        <w:t>五、一般公共预算财政拨款支出决算情况说明</w:t>
      </w:r>
      <w:r>
        <w:rPr>
          <w:rFonts w:hint="eastAsia"/>
          <w:sz w:val="24"/>
          <w:lang w:val="en-US" w:eastAsia="zh-CN"/>
        </w:rPr>
        <w:t>.........................................9</w:t>
      </w:r>
    </w:p>
    <w:p>
      <w:pPr>
        <w:pStyle w:val="11"/>
        <w:adjustRightInd w:val="0"/>
        <w:snapToGrid w:val="0"/>
        <w:spacing w:line="440" w:lineRule="exact"/>
        <w:jc w:val="left"/>
        <w:rPr>
          <w:rFonts w:hint="default" w:ascii="仿宋" w:hAnsi="仿宋" w:eastAsia="宋体"/>
          <w:sz w:val="24"/>
          <w:lang w:val="en-US" w:eastAsia="zh-CN"/>
        </w:rPr>
      </w:pPr>
      <w:r>
        <w:rPr>
          <w:rFonts w:hint="eastAsia"/>
          <w:sz w:val="24"/>
        </w:rPr>
        <w:t>六、一般公共预算财政拨款基本支出决算情况说明</w:t>
      </w:r>
      <w:r>
        <w:rPr>
          <w:rFonts w:hint="eastAsia"/>
          <w:sz w:val="24"/>
          <w:lang w:val="en-US" w:eastAsia="zh-CN"/>
        </w:rPr>
        <w:t>................................11</w:t>
      </w:r>
    </w:p>
    <w:p>
      <w:pPr>
        <w:pStyle w:val="11"/>
        <w:adjustRightInd w:val="0"/>
        <w:snapToGrid w:val="0"/>
        <w:spacing w:line="440" w:lineRule="exact"/>
        <w:jc w:val="left"/>
        <w:rPr>
          <w:rFonts w:hint="default" w:ascii="仿宋" w:hAnsi="仿宋" w:eastAsia="宋体"/>
          <w:sz w:val="24"/>
          <w:lang w:val="en-US" w:eastAsia="zh-CN"/>
        </w:rPr>
      </w:pPr>
      <w:r>
        <w:rPr>
          <w:rFonts w:hint="eastAsia"/>
          <w:sz w:val="24"/>
        </w:rPr>
        <w:t>七、</w:t>
      </w:r>
      <w:r>
        <w:rPr>
          <w:sz w:val="24"/>
        </w:rPr>
        <w:t>“</w:t>
      </w:r>
      <w:r>
        <w:rPr>
          <w:rFonts w:hint="eastAsia"/>
          <w:sz w:val="24"/>
        </w:rPr>
        <w:t>三公”经费财政拨款支出决算情况说明</w:t>
      </w:r>
      <w:r>
        <w:rPr>
          <w:rFonts w:hint="eastAsia"/>
          <w:sz w:val="24"/>
          <w:lang w:val="en-US" w:eastAsia="zh-CN"/>
        </w:rPr>
        <w:t>..........................................12</w:t>
      </w:r>
    </w:p>
    <w:p>
      <w:pPr>
        <w:pStyle w:val="11"/>
        <w:adjustRightInd w:val="0"/>
        <w:snapToGrid w:val="0"/>
        <w:spacing w:line="440" w:lineRule="exact"/>
        <w:jc w:val="left"/>
        <w:rPr>
          <w:rFonts w:hint="default" w:ascii="仿宋" w:hAnsi="仿宋" w:eastAsia="宋体"/>
          <w:sz w:val="24"/>
          <w:lang w:val="en-US" w:eastAsia="zh-CN"/>
        </w:rPr>
      </w:pPr>
      <w:r>
        <w:rPr>
          <w:rFonts w:hint="eastAsia"/>
          <w:sz w:val="24"/>
        </w:rPr>
        <w:t>八、政府性基金预算支出决算情况说明</w:t>
      </w:r>
      <w:r>
        <w:rPr>
          <w:rFonts w:hint="eastAsia"/>
          <w:sz w:val="24"/>
          <w:lang w:val="en-US" w:eastAsia="zh-CN"/>
        </w:rPr>
        <w:t>....................................................14</w:t>
      </w:r>
    </w:p>
    <w:p>
      <w:pPr>
        <w:pStyle w:val="11"/>
        <w:adjustRightInd w:val="0"/>
        <w:snapToGrid w:val="0"/>
        <w:spacing w:line="440" w:lineRule="exact"/>
        <w:ind w:leftChars="0"/>
        <w:jc w:val="left"/>
        <w:rPr>
          <w:rFonts w:hint="default" w:ascii="仿宋" w:hAnsi="仿宋" w:eastAsia="宋体"/>
          <w:sz w:val="24"/>
          <w:lang w:val="en-US" w:eastAsia="zh-CN"/>
        </w:rPr>
      </w:pPr>
      <w:r>
        <w:rPr>
          <w:rFonts w:hint="eastAsia" w:ascii="仿宋" w:hAnsi="仿宋" w:eastAsia="仿宋"/>
          <w:sz w:val="24"/>
        </w:rPr>
        <w:t>九、</w:t>
      </w:r>
      <w:r>
        <w:rPr>
          <w:sz w:val="24"/>
        </w:rPr>
        <w:t xml:space="preserve"> </w:t>
      </w:r>
      <w:r>
        <w:rPr>
          <w:rFonts w:hint="eastAsia"/>
          <w:sz w:val="24"/>
        </w:rPr>
        <w:t>国有资本经营预算支出决算情况说明</w:t>
      </w:r>
      <w:r>
        <w:rPr>
          <w:rFonts w:hint="eastAsia"/>
          <w:sz w:val="24"/>
          <w:lang w:val="en-US" w:eastAsia="zh-CN"/>
        </w:rPr>
        <w:t>..............................................14</w:t>
      </w:r>
    </w:p>
    <w:p>
      <w:pPr>
        <w:adjustRightInd w:val="0"/>
        <w:snapToGrid w:val="0"/>
        <w:spacing w:line="440" w:lineRule="exact"/>
        <w:ind w:firstLine="480" w:firstLineChars="200"/>
        <w:jc w:val="left"/>
        <w:rPr>
          <w:rFonts w:hint="default" w:ascii="仿宋" w:hAnsi="仿宋" w:eastAsia="仿宋"/>
          <w:sz w:val="24"/>
          <w:lang w:val="en-US"/>
        </w:rPr>
      </w:pPr>
      <w:r>
        <w:rPr>
          <w:rStyle w:val="16"/>
          <w:rFonts w:hint="eastAsia" w:ascii="仿宋" w:hAnsi="仿宋" w:eastAsia="仿宋"/>
          <w:color w:val="000000"/>
          <w:sz w:val="24"/>
          <w:u w:val="none"/>
        </w:rPr>
        <w:t>十、</w:t>
      </w:r>
      <w:r>
        <w:rPr>
          <w:rFonts w:hint="eastAsia"/>
          <w:sz w:val="24"/>
        </w:rPr>
        <w:t>其他重要事项的情况说明</w:t>
      </w:r>
      <w:r>
        <w:rPr>
          <w:rFonts w:hint="eastAsia"/>
          <w:sz w:val="24"/>
          <w:lang w:val="en-US" w:eastAsia="zh-CN"/>
        </w:rPr>
        <w:t>...................................................................14</w:t>
      </w:r>
    </w:p>
    <w:p>
      <w:pPr>
        <w:pStyle w:val="10"/>
        <w:adjustRightInd w:val="0"/>
        <w:snapToGrid w:val="0"/>
        <w:spacing w:before="0" w:line="440" w:lineRule="exact"/>
        <w:jc w:val="left"/>
        <w:rPr>
          <w:rFonts w:hint="default" w:eastAsia="仿宋"/>
          <w:sz w:val="24"/>
          <w:szCs w:val="24"/>
          <w:lang w:val="en-US" w:eastAsia="zh-CN"/>
        </w:rPr>
      </w:pPr>
      <w:r>
        <w:rPr>
          <w:rFonts w:hint="eastAsia"/>
          <w:sz w:val="24"/>
        </w:rPr>
        <w:t>第三部分</w:t>
      </w:r>
      <w:r>
        <w:rPr>
          <w:sz w:val="24"/>
        </w:rPr>
        <w:t xml:space="preserve"> </w:t>
      </w:r>
      <w:r>
        <w:rPr>
          <w:rFonts w:hint="eastAsia"/>
          <w:sz w:val="24"/>
        </w:rPr>
        <w:t>名词解释</w:t>
      </w:r>
      <w:r>
        <w:rPr>
          <w:rFonts w:hint="eastAsia" w:ascii="Times New Roman" w:hAnsi="Times New Roman" w:eastAsia="宋体" w:cs="Times New Roman"/>
          <w:kern w:val="2"/>
          <w:sz w:val="24"/>
          <w:szCs w:val="24"/>
          <w:lang w:val="en-US" w:eastAsia="zh-CN" w:bidi="ar-SA"/>
        </w:rPr>
        <w:t>.............................................................................................16</w:t>
      </w:r>
    </w:p>
    <w:p>
      <w:pPr>
        <w:pStyle w:val="10"/>
        <w:adjustRightInd w:val="0"/>
        <w:snapToGrid w:val="0"/>
        <w:spacing w:before="0" w:line="440" w:lineRule="exact"/>
        <w:jc w:val="left"/>
        <w:rPr>
          <w:rFonts w:hint="default" w:ascii="Times New Roman" w:hAnsi="Times New Roman" w:eastAsia="宋体" w:cs="Times New Roman"/>
          <w:kern w:val="2"/>
          <w:sz w:val="24"/>
          <w:szCs w:val="24"/>
          <w:lang w:val="en-US" w:eastAsia="zh-CN" w:bidi="ar-SA"/>
        </w:rPr>
      </w:pPr>
      <w:r>
        <w:rPr>
          <w:rFonts w:hint="eastAsia"/>
          <w:sz w:val="24"/>
        </w:rPr>
        <w:t>第四部分</w:t>
      </w:r>
      <w:r>
        <w:rPr>
          <w:sz w:val="24"/>
        </w:rPr>
        <w:t xml:space="preserve"> </w:t>
      </w:r>
      <w:r>
        <w:rPr>
          <w:rFonts w:hint="eastAsia"/>
          <w:sz w:val="24"/>
        </w:rPr>
        <w:t>附件</w:t>
      </w:r>
      <w:r>
        <w:rPr>
          <w:rFonts w:hint="eastAsia" w:ascii="Times New Roman" w:hAnsi="Times New Roman" w:eastAsia="宋体" w:cs="Times New Roman"/>
          <w:kern w:val="2"/>
          <w:sz w:val="24"/>
          <w:szCs w:val="24"/>
          <w:lang w:val="en-US" w:eastAsia="zh-CN" w:bidi="ar-SA"/>
        </w:rPr>
        <w:t>.....................................................................................................20</w:t>
      </w:r>
    </w:p>
    <w:p>
      <w:pPr>
        <w:pStyle w:val="10"/>
        <w:adjustRightInd w:val="0"/>
        <w:snapToGrid w:val="0"/>
        <w:spacing w:before="0" w:line="440" w:lineRule="exact"/>
        <w:jc w:val="left"/>
        <w:rPr>
          <w:rFonts w:hint="default" w:ascii="Times New Roman" w:hAnsi="Times New Roman" w:eastAsia="宋体" w:cs="Times New Roman"/>
          <w:kern w:val="2"/>
          <w:sz w:val="24"/>
          <w:szCs w:val="24"/>
          <w:lang w:val="en-US" w:eastAsia="zh-CN" w:bidi="ar-SA"/>
        </w:rPr>
      </w:pPr>
      <w:r>
        <w:rPr>
          <w:rFonts w:hint="eastAsia"/>
          <w:sz w:val="24"/>
        </w:rPr>
        <w:t>第五部分</w:t>
      </w:r>
      <w:r>
        <w:rPr>
          <w:sz w:val="24"/>
        </w:rPr>
        <w:t xml:space="preserve"> </w:t>
      </w:r>
      <w:r>
        <w:rPr>
          <w:rFonts w:hint="eastAsia"/>
          <w:sz w:val="24"/>
        </w:rPr>
        <w:t>附表</w:t>
      </w:r>
      <w:r>
        <w:rPr>
          <w:rFonts w:hint="eastAsia" w:ascii="Times New Roman" w:hAnsi="Times New Roman" w:eastAsia="宋体" w:cs="Times New Roman"/>
          <w:kern w:val="2"/>
          <w:sz w:val="24"/>
          <w:szCs w:val="24"/>
          <w:lang w:val="en-US" w:eastAsia="zh-CN" w:bidi="ar-SA"/>
        </w:rPr>
        <w:t>.....................................................................................................24</w:t>
      </w:r>
    </w:p>
    <w:p>
      <w:pPr>
        <w:adjustRightInd w:val="0"/>
        <w:snapToGrid w:val="0"/>
        <w:spacing w:line="360" w:lineRule="auto"/>
        <w:jc w:val="center"/>
        <w:outlineLvl w:val="0"/>
        <w:rPr>
          <w:rFonts w:hint="eastAsia" w:ascii="方正小标宋简体" w:hAnsi="宋体" w:eastAsia="方正小标宋简体"/>
          <w:b/>
          <w:color w:val="000000"/>
          <w:sz w:val="52"/>
          <w:szCs w:val="52"/>
        </w:rPr>
      </w:pPr>
    </w:p>
    <w:p>
      <w:pPr>
        <w:adjustRightInd w:val="0"/>
        <w:snapToGrid w:val="0"/>
        <w:spacing w:line="360" w:lineRule="auto"/>
        <w:jc w:val="center"/>
        <w:outlineLvl w:val="0"/>
        <w:rPr>
          <w:rFonts w:ascii="方正小标宋简体" w:hAnsi="宋体" w:eastAsia="方正小标宋简体"/>
          <w:b/>
          <w:color w:val="000000"/>
          <w:sz w:val="52"/>
          <w:szCs w:val="52"/>
        </w:rPr>
      </w:pPr>
    </w:p>
    <w:p>
      <w:pPr>
        <w:widowControl/>
        <w:jc w:val="center"/>
        <w:rPr>
          <w:rStyle w:val="25"/>
          <w:rFonts w:ascii="黑体" w:hAnsi="黑体" w:eastAsia="黑体"/>
          <w:b w:val="0"/>
        </w:rPr>
      </w:pPr>
      <w:r>
        <w:rPr>
          <w:rFonts w:ascii="方正小标宋简体" w:hAnsi="宋体" w:eastAsia="方正小标宋简体"/>
          <w:color w:val="000000"/>
          <w:sz w:val="36"/>
          <w:szCs w:val="36"/>
        </w:rPr>
        <w:br w:type="page"/>
      </w:r>
      <w:bookmarkStart w:id="0" w:name="_Toc15396599"/>
      <w:bookmarkStart w:id="1" w:name="_Toc15377196"/>
      <w:r>
        <w:rPr>
          <w:rFonts w:hint="eastAsia" w:ascii="黑体" w:hAnsi="黑体" w:eastAsia="黑体"/>
          <w:sz w:val="44"/>
          <w:szCs w:val="44"/>
        </w:rPr>
        <w:t>第一部分</w:t>
      </w:r>
      <w:r>
        <w:rPr>
          <w:rStyle w:val="25"/>
          <w:rFonts w:hint="eastAsia" w:ascii="黑体" w:hAnsi="黑体" w:eastAsia="黑体"/>
          <w:b w:val="0"/>
        </w:rPr>
        <w:t>部门概况</w:t>
      </w:r>
      <w:bookmarkEnd w:id="0"/>
      <w:bookmarkEnd w:id="1"/>
    </w:p>
    <w:p>
      <w:pPr>
        <w:widowControl/>
        <w:jc w:val="left"/>
        <w:rPr>
          <w:rFonts w:ascii="黑体" w:eastAsia="黑体"/>
          <w:color w:val="000000"/>
          <w:sz w:val="32"/>
          <w:szCs w:val="32"/>
        </w:rPr>
      </w:pPr>
    </w:p>
    <w:p>
      <w:pPr>
        <w:pStyle w:val="4"/>
        <w:rPr>
          <w:rStyle w:val="26"/>
          <w:rFonts w:ascii="仿宋" w:hAnsi="仿宋" w:eastAsia="仿宋"/>
          <w:b w:val="0"/>
          <w:bCs w:val="0"/>
        </w:rPr>
      </w:pPr>
      <w:bookmarkStart w:id="2" w:name="_Toc15396600"/>
      <w:bookmarkStart w:id="3" w:name="_Toc15377197"/>
      <w:r>
        <w:rPr>
          <w:rFonts w:hint="eastAsia" w:ascii="黑体" w:hAnsi="黑体" w:eastAsia="黑体"/>
          <w:b w:val="0"/>
          <w:color w:val="000000"/>
        </w:rPr>
        <w:t>一、基</w:t>
      </w:r>
      <w:r>
        <w:rPr>
          <w:rStyle w:val="26"/>
          <w:rFonts w:hint="eastAsia" w:ascii="黑体" w:hAnsi="黑体" w:eastAsia="黑体"/>
          <w:b w:val="0"/>
          <w:bCs w:val="0"/>
        </w:rPr>
        <w:t>本职能及主要工作</w:t>
      </w:r>
      <w:bookmarkEnd w:id="2"/>
      <w:bookmarkEnd w:id="3"/>
    </w:p>
    <w:p>
      <w:pPr>
        <w:pStyle w:val="2"/>
        <w:adjustRightInd w:val="0"/>
        <w:snapToGrid w:val="0"/>
        <w:spacing w:before="93" w:line="600" w:lineRule="exact"/>
        <w:ind w:firstLine="672" w:firstLineChars="210"/>
        <w:outlineLvl w:val="2"/>
        <w:rPr>
          <w:rFonts w:hint="eastAsia" w:ascii="仿宋" w:hAnsi="仿宋" w:eastAsia="仿宋" w:cs="Times New Roman"/>
          <w:b/>
          <w:bCs/>
          <w:color w:val="000000"/>
          <w:kern w:val="2"/>
          <w:sz w:val="32"/>
          <w:szCs w:val="32"/>
          <w:lang w:val="en-US" w:eastAsia="zh-CN" w:bidi="ar-SA"/>
        </w:rPr>
      </w:pPr>
      <w:bookmarkStart w:id="4" w:name="_Toc15378445"/>
      <w:bookmarkStart w:id="5" w:name="_Toc15377198"/>
      <w:r>
        <w:rPr>
          <w:rFonts w:hint="eastAsia" w:ascii="仿宋" w:hAnsi="仿宋" w:eastAsia="仿宋" w:cs="Times New Roman"/>
          <w:b/>
          <w:bCs/>
          <w:color w:val="000000"/>
          <w:kern w:val="2"/>
          <w:sz w:val="32"/>
          <w:szCs w:val="32"/>
          <w:lang w:val="en-US" w:eastAsia="zh-CN" w:bidi="ar-SA"/>
        </w:rPr>
        <w:t>（一）主要职能。</w:t>
      </w:r>
    </w:p>
    <w:bookmarkEnd w:id="4"/>
    <w:bookmarkEnd w:id="5"/>
    <w:p>
      <w:pPr>
        <w:keepNext w:val="0"/>
        <w:keepLines w:val="0"/>
        <w:pageBreakBefore w:val="0"/>
        <w:kinsoku/>
        <w:wordWrap/>
        <w:overflowPunct/>
        <w:topLinePunct w:val="0"/>
        <w:bidi w:val="0"/>
        <w:spacing w:line="560" w:lineRule="exact"/>
        <w:ind w:firstLine="640" w:firstLineChars="200"/>
        <w:textAlignment w:val="auto"/>
        <w:rPr>
          <w:rFonts w:hint="eastAsia" w:ascii="仿宋" w:hAnsi="仿宋" w:eastAsia="仿宋" w:cs="Times New Roman"/>
          <w:color w:val="000000"/>
          <w:kern w:val="2"/>
          <w:sz w:val="32"/>
          <w:szCs w:val="32"/>
          <w:lang w:val="en-US" w:eastAsia="zh-CN" w:bidi="ar-SA"/>
        </w:rPr>
      </w:pPr>
      <w:bookmarkStart w:id="6" w:name="_Toc15377199"/>
      <w:bookmarkStart w:id="7" w:name="_Toc15378446"/>
      <w:r>
        <w:rPr>
          <w:rFonts w:hint="eastAsia" w:ascii="仿宋" w:hAnsi="仿宋" w:eastAsia="仿宋" w:cs="Times New Roman"/>
          <w:color w:val="000000"/>
          <w:kern w:val="2"/>
          <w:sz w:val="32"/>
          <w:szCs w:val="32"/>
          <w:lang w:val="en-US" w:eastAsia="zh-CN" w:bidi="ar-SA"/>
        </w:rPr>
        <w:t> 南江县人民检察院属国家法律监督机关，按照上级检察院和县委的决策部署，依法履行法律监督职责。主要任务是通过行使检察权，追诉犯罪，保障人权，维护国家安全和社会秩序，依法监督国家机关及其工作人员行使职权，保障国家法律正确实施，维护社会公共利益，维护社会公平正义，维护国家法制统一、尊严、权威。主要行使下列职权：对依照法律规定由其办理的刑事案件行使侦查权；对刑事案件进行审查，决定是否逮捕犯罪嫌疑人；对侦查终结的刑事案件进行审查，决定是否提起公诉；对刑事、民事、行政诉讼实行法律监督；对刑事、民事、行政判决、裁定等生效法律文书的执行工作实行法律监督；对社区矫正机构、看守所的执法工作实行法律监督；依照法律规定提起公益诉讼；以及法律规定的其他职权。</w:t>
      </w:r>
    </w:p>
    <w:p>
      <w:pPr>
        <w:pStyle w:val="2"/>
        <w:adjustRightInd w:val="0"/>
        <w:snapToGrid w:val="0"/>
        <w:spacing w:before="93" w:line="600" w:lineRule="exact"/>
        <w:ind w:firstLine="672" w:firstLineChars="210"/>
        <w:outlineLvl w:val="2"/>
        <w:rPr>
          <w:rFonts w:hint="eastAsia" w:ascii="仿宋" w:hAnsi="仿宋" w:eastAsia="仿宋" w:cs="Times New Roman"/>
          <w:b/>
          <w:bCs/>
          <w:color w:val="000000"/>
          <w:kern w:val="2"/>
          <w:sz w:val="32"/>
          <w:szCs w:val="32"/>
          <w:lang w:val="en-US" w:eastAsia="zh-CN" w:bidi="ar-SA"/>
        </w:rPr>
      </w:pPr>
      <w:r>
        <w:rPr>
          <w:rFonts w:hint="eastAsia" w:ascii="仿宋" w:hAnsi="仿宋" w:eastAsia="仿宋" w:cs="Times New Roman"/>
          <w:b/>
          <w:bCs/>
          <w:color w:val="000000"/>
          <w:kern w:val="2"/>
          <w:sz w:val="32"/>
          <w:szCs w:val="32"/>
          <w:lang w:val="en-US" w:eastAsia="zh-CN" w:bidi="ar-SA"/>
        </w:rPr>
        <w:t>（二）2021年重点工作完成情况。</w:t>
      </w:r>
      <w:bookmarkEnd w:id="6"/>
      <w:bookmarkEnd w:id="7"/>
    </w:p>
    <w:p>
      <w:pPr>
        <w:keepNext w:val="0"/>
        <w:keepLines w:val="0"/>
        <w:pageBreakBefore w:val="0"/>
        <w:widowControl w:val="0"/>
        <w:kinsoku/>
        <w:wordWrap/>
        <w:overflowPunct/>
        <w:topLinePunct w:val="0"/>
        <w:autoSpaceDN/>
        <w:bidi w:val="0"/>
        <w:spacing w:line="560" w:lineRule="exact"/>
        <w:ind w:firstLine="640"/>
        <w:jc w:val="both"/>
        <w:textAlignment w:val="auto"/>
        <w:rPr>
          <w:rFonts w:hint="eastAsia" w:ascii="仿宋" w:hAnsi="仿宋" w:eastAsia="仿宋" w:cs="Times New Roman"/>
          <w:color w:val="000000"/>
          <w:kern w:val="2"/>
          <w:sz w:val="32"/>
          <w:szCs w:val="32"/>
          <w:lang w:val="en-US" w:eastAsia="zh-CN" w:bidi="ar-SA"/>
        </w:rPr>
      </w:pPr>
      <w:bookmarkStart w:id="8" w:name="_Toc15377200"/>
      <w:bookmarkStart w:id="9" w:name="_Toc15396601"/>
      <w:r>
        <w:rPr>
          <w:rFonts w:hint="default" w:ascii="Times New Roman" w:hAnsi="Times New Roman" w:eastAsia="仿宋" w:cs="Times New Roman"/>
          <w:color w:val="000000" w:themeColor="text1"/>
          <w:spacing w:val="0"/>
          <w:kern w:val="2"/>
          <w:sz w:val="32"/>
          <w:szCs w:val="32"/>
          <w:u w:val="none"/>
          <w:rtl w:val="0"/>
          <w:lang w:val="en-US" w:eastAsia="zh-CN" w:bidi="ar-SA"/>
          <w14:textFill>
            <w14:solidFill>
              <w14:schemeClr w14:val="tx1"/>
            </w14:solidFill>
          </w14:textFill>
        </w:rPr>
        <w:t>2021年，</w:t>
      </w:r>
      <w:r>
        <w:rPr>
          <w:rFonts w:hint="eastAsia" w:eastAsia="仿宋" w:cs="Times New Roman"/>
          <w:color w:val="000000" w:themeColor="text1"/>
          <w:spacing w:val="0"/>
          <w:kern w:val="2"/>
          <w:sz w:val="32"/>
          <w:szCs w:val="32"/>
          <w:u w:val="none"/>
          <w:rtl w:val="0"/>
          <w:lang w:val="en-US" w:eastAsia="zh-CN" w:bidi="ar-SA"/>
          <w14:textFill>
            <w14:solidFill>
              <w14:schemeClr w14:val="tx1"/>
            </w14:solidFill>
          </w14:textFill>
        </w:rPr>
        <w:t>我</w:t>
      </w:r>
      <w:r>
        <w:rPr>
          <w:rFonts w:hint="default" w:ascii="Times New Roman" w:hAnsi="Times New Roman" w:eastAsia="仿宋" w:cs="Times New Roman"/>
          <w:color w:val="000000" w:themeColor="text1"/>
          <w:spacing w:val="0"/>
          <w:kern w:val="2"/>
          <w:sz w:val="32"/>
          <w:szCs w:val="32"/>
          <w:u w:val="none"/>
          <w:rtl w:val="0"/>
          <w:lang w:val="en-US" w:eastAsia="zh-CN" w:bidi="ar-SA"/>
          <w14:textFill>
            <w14:solidFill>
              <w14:schemeClr w14:val="tx1"/>
            </w14:solidFill>
          </w14:textFill>
        </w:rPr>
        <w:t>院坚持以习近平新时代中国特色社会主义思想为指导，全面落实《中共中央关于加强新时代检察机关法律监督工作的意见》，在县委和市检察院坚强领导下，紧贴“生态立县、文旅强县、和美善治、同步振兴”实践路径，认真落实市院党组“1234”工作思路，秉承“知行合一、臻于至善”工作理念，</w:t>
      </w:r>
      <w:r>
        <w:rPr>
          <w:rFonts w:hint="default" w:ascii="Times New Roman" w:hAnsi="Times New Roman" w:eastAsia="仿宋" w:cs="Times New Roman"/>
          <w:color w:val="000000" w:themeColor="text1"/>
          <w:spacing w:val="0"/>
          <w:kern w:val="2"/>
          <w:sz w:val="32"/>
          <w:szCs w:val="32"/>
          <w:u w:val="none"/>
          <w:rtl w:val="0"/>
          <w:lang w:val="zh-CN" w:eastAsia="zh-CN" w:bidi="ar-SA"/>
          <w14:textFill>
            <w14:solidFill>
              <w14:schemeClr w14:val="tx1"/>
            </w14:solidFill>
          </w14:textFill>
        </w:rPr>
        <w:t>各项工作取得新成效，为南江“十四五”良好开局提供了强有力的司法保障</w:t>
      </w:r>
      <w:r>
        <w:rPr>
          <w:rFonts w:hint="default" w:ascii="Times New Roman" w:hAnsi="Times New Roman" w:eastAsia="仿宋" w:cs="Times New Roman"/>
          <w:color w:val="000000" w:themeColor="text1"/>
          <w:spacing w:val="0"/>
          <w:kern w:val="2"/>
          <w:sz w:val="32"/>
          <w:szCs w:val="32"/>
          <w:u w:val="none"/>
          <w:rtl w:val="0"/>
          <w:lang w:val="en-US" w:eastAsia="zh-CN" w:bidi="ar-SA"/>
          <w14:textFill>
            <w14:solidFill>
              <w14:schemeClr w14:val="tx1"/>
            </w14:solidFill>
          </w14:textFill>
        </w:rPr>
        <w:t>。</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60" w:lineRule="exact"/>
        <w:ind w:left="0" w:leftChars="0" w:right="0" w:rightChars="0" w:firstLine="640"/>
        <w:jc w:val="both"/>
        <w:textAlignment w:val="auto"/>
        <w:rPr>
          <w:rFonts w:hint="default" w:ascii="Times New Roman" w:hAnsi="Times New Roman" w:eastAsia="仿宋" w:cs="Times New Roman"/>
          <w:color w:val="000000" w:themeColor="text1"/>
          <w:spacing w:val="0"/>
          <w:kern w:val="2"/>
          <w:sz w:val="32"/>
          <w:szCs w:val="32"/>
          <w:u w:val="none"/>
          <w:rtl w:val="0"/>
          <w:lang w:val="en-US" w:eastAsia="zh-CN" w:bidi="ar-SA"/>
          <w14:textFill>
            <w14:solidFill>
              <w14:schemeClr w14:val="tx1"/>
            </w14:solidFill>
          </w14:textFill>
        </w:rPr>
      </w:pPr>
      <w:r>
        <w:rPr>
          <w:rFonts w:hint="eastAsia" w:eastAsia="楷体" w:cs="Times New Roman"/>
          <w:b/>
          <w:bCs/>
          <w:color w:val="000000" w:themeColor="text1"/>
          <w:spacing w:val="0"/>
          <w:sz w:val="32"/>
          <w:szCs w:val="32"/>
          <w:u w:val="none"/>
          <w:lang w:val="en-US" w:eastAsia="zh-CN"/>
          <w14:textFill>
            <w14:solidFill>
              <w14:schemeClr w14:val="tx1"/>
            </w14:solidFill>
          </w14:textFill>
        </w:rPr>
        <w:t>1、</w:t>
      </w:r>
      <w:r>
        <w:rPr>
          <w:rFonts w:hint="default" w:ascii="Times New Roman" w:hAnsi="Times New Roman" w:eastAsia="楷体" w:cs="Times New Roman"/>
          <w:b/>
          <w:bCs/>
          <w:color w:val="000000" w:themeColor="text1"/>
          <w:spacing w:val="0"/>
          <w:sz w:val="32"/>
          <w:szCs w:val="32"/>
          <w:u w:val="none"/>
          <w:lang w:val="en-US" w:eastAsia="zh-CN"/>
          <w14:textFill>
            <w14:solidFill>
              <w14:schemeClr w14:val="tx1"/>
            </w14:solidFill>
          </w14:textFill>
        </w:rPr>
        <w:t>精益求精做优刑事检察。</w:t>
      </w:r>
      <w:r>
        <w:rPr>
          <w:rFonts w:hint="default" w:ascii="Times New Roman" w:hAnsi="Times New Roman" w:eastAsia="仿宋" w:cs="Times New Roman"/>
          <w:b w:val="0"/>
          <w:bCs w:val="0"/>
          <w:strike w:val="0"/>
          <w:dstrike w:val="0"/>
          <w:color w:val="000000" w:themeColor="text1"/>
          <w:spacing w:val="0"/>
          <w:sz w:val="32"/>
          <w:szCs w:val="32"/>
          <w:u w:val="none"/>
          <w:lang w:val="en-US" w:eastAsia="zh-CN"/>
          <w14:textFill>
            <w14:solidFill>
              <w14:schemeClr w14:val="tx1"/>
            </w14:solidFill>
          </w14:textFill>
        </w:rPr>
        <w:t>强化侦查监督。</w:t>
      </w:r>
      <w:r>
        <w:rPr>
          <w:rFonts w:hint="default" w:ascii="Times New Roman" w:hAnsi="Times New Roman" w:eastAsia="仿宋" w:cs="Times New Roman"/>
          <w:color w:val="000000" w:themeColor="text1"/>
          <w:spacing w:val="0"/>
          <w:kern w:val="2"/>
          <w:sz w:val="32"/>
          <w:szCs w:val="32"/>
          <w:u w:val="none"/>
          <w:rtl w:val="0"/>
          <w:lang w:val="en-US" w:eastAsia="zh-CN" w:bidi="ar-SA"/>
          <w14:textFill>
            <w14:solidFill>
              <w14:schemeClr w14:val="tx1"/>
            </w14:solidFill>
          </w14:textFill>
        </w:rPr>
        <w:t>监督立案27件、撤案4件，</w:t>
      </w:r>
      <w:r>
        <w:rPr>
          <w:rFonts w:hint="default" w:ascii="Times New Roman" w:hAnsi="Times New Roman" w:eastAsia="仿宋" w:cs="Times New Roman"/>
          <w:color w:val="000000" w:themeColor="text1"/>
          <w:spacing w:val="0"/>
          <w:sz w:val="32"/>
          <w:szCs w:val="32"/>
          <w:u w:val="none"/>
          <w:rtl w:val="0"/>
          <w:lang w:val="en-US" w:eastAsia="zh-CN"/>
          <w14:textFill>
            <w14:solidFill>
              <w14:schemeClr w14:val="tx1"/>
            </w14:solidFill>
          </w14:textFill>
        </w:rPr>
        <w:t>纠正侦查活动违法17件，</w:t>
      </w:r>
      <w:r>
        <w:rPr>
          <w:rFonts w:hint="default" w:ascii="Times New Roman" w:hAnsi="Times New Roman" w:eastAsia="仿宋" w:cs="Times New Roman"/>
          <w:strike w:val="0"/>
          <w:dstrike w:val="0"/>
          <w:color w:val="000000" w:themeColor="text1"/>
          <w:spacing w:val="0"/>
          <w:sz w:val="32"/>
          <w:szCs w:val="32"/>
          <w:u w:val="none"/>
          <w:lang w:val="en-US" w:eastAsia="zh-CN"/>
          <w14:textFill>
            <w14:solidFill>
              <w14:schemeClr w14:val="tx1"/>
            </w14:solidFill>
          </w14:textFill>
        </w:rPr>
        <w:t>提前介入引导侦查取证40余次</w:t>
      </w:r>
      <w:r>
        <w:rPr>
          <w:rFonts w:hint="default" w:ascii="Times New Roman" w:hAnsi="Times New Roman" w:eastAsia="仿宋" w:cs="Times New Roman"/>
          <w:color w:val="000000" w:themeColor="text1"/>
          <w:spacing w:val="0"/>
          <w:kern w:val="2"/>
          <w:sz w:val="32"/>
          <w:szCs w:val="32"/>
          <w:u w:val="none"/>
          <w:rtl w:val="0"/>
          <w:lang w:val="en-US" w:eastAsia="zh-CN" w:bidi="ar-SA"/>
          <w14:textFill>
            <w14:solidFill>
              <w14:schemeClr w14:val="tx1"/>
            </w14:solidFill>
          </w14:textFill>
        </w:rPr>
        <w:t>；追捕</w:t>
      </w:r>
      <w:r>
        <w:rPr>
          <w:rFonts w:hint="default" w:ascii="Times New Roman" w:hAnsi="Times New Roman" w:eastAsia="仿宋" w:cs="Times New Roman"/>
          <w:strike w:val="0"/>
          <w:dstrike w:val="0"/>
          <w:color w:val="000000" w:themeColor="text1"/>
          <w:spacing w:val="0"/>
          <w:sz w:val="32"/>
          <w:szCs w:val="32"/>
          <w:u w:val="none"/>
          <w:lang w:eastAsia="zh-CN"/>
          <w14:textFill>
            <w14:solidFill>
              <w14:schemeClr w14:val="tx1"/>
            </w14:solidFill>
          </w14:textFill>
        </w:rPr>
        <w:t>4</w:t>
      </w:r>
      <w:r>
        <w:rPr>
          <w:rFonts w:hint="default" w:ascii="Times New Roman" w:hAnsi="Times New Roman" w:eastAsia="仿宋" w:cs="Times New Roman"/>
          <w:color w:val="000000" w:themeColor="text1"/>
          <w:spacing w:val="0"/>
          <w:kern w:val="2"/>
          <w:sz w:val="32"/>
          <w:szCs w:val="32"/>
          <w:u w:val="none"/>
          <w:rtl w:val="0"/>
          <w:lang w:val="en-US" w:eastAsia="zh-CN" w:bidi="ar-SA"/>
          <w14:textFill>
            <w14:solidFill>
              <w14:schemeClr w14:val="tx1"/>
            </w14:solidFill>
          </w14:textFill>
        </w:rPr>
        <w:t>人，追诉漏罪漏犯</w:t>
      </w:r>
      <w:r>
        <w:rPr>
          <w:rFonts w:hint="default" w:ascii="Times New Roman" w:hAnsi="Times New Roman" w:eastAsia="仿宋" w:cs="Times New Roman"/>
          <w:strike w:val="0"/>
          <w:dstrike w:val="0"/>
          <w:color w:val="000000" w:themeColor="text1"/>
          <w:spacing w:val="0"/>
          <w:sz w:val="32"/>
          <w:szCs w:val="32"/>
          <w:u w:val="none"/>
          <w:lang w:eastAsia="zh-CN"/>
          <w14:textFill>
            <w14:solidFill>
              <w14:schemeClr w14:val="tx1"/>
            </w14:solidFill>
          </w14:textFill>
        </w:rPr>
        <w:t>41</w:t>
      </w:r>
      <w:r>
        <w:rPr>
          <w:rFonts w:hint="default" w:ascii="Times New Roman" w:hAnsi="Times New Roman" w:eastAsia="仿宋" w:cs="Times New Roman"/>
          <w:color w:val="000000" w:themeColor="text1"/>
          <w:spacing w:val="0"/>
          <w:kern w:val="2"/>
          <w:sz w:val="32"/>
          <w:szCs w:val="32"/>
          <w:u w:val="none"/>
          <w:rtl w:val="0"/>
          <w:lang w:val="en-US" w:eastAsia="zh-CN" w:bidi="ar-SA"/>
          <w14:textFill>
            <w14:solidFill>
              <w14:schemeClr w14:val="tx1"/>
            </w14:solidFill>
          </w14:textFill>
        </w:rPr>
        <w:t>人（件），参与毒品犯罪的张某某、李某追捕后被判处有期徒刑；积极推动“两法衔接”，督促行政执法机关移送涉嫌犯</w:t>
      </w:r>
      <w:r>
        <w:rPr>
          <w:rFonts w:hint="default" w:ascii="Times New Roman" w:hAnsi="Times New Roman" w:eastAsia="仿宋" w:cs="Times New Roman"/>
          <w:color w:val="000000" w:themeColor="text1"/>
          <w:spacing w:val="0"/>
          <w:sz w:val="32"/>
          <w:szCs w:val="32"/>
          <w:u w:val="none"/>
          <w:rtl w:val="0"/>
          <w:lang w:val="en-US" w:eastAsia="zh-CN"/>
          <w14:textFill>
            <w14:solidFill>
              <w14:schemeClr w14:val="tx1"/>
            </w14:solidFill>
          </w14:textFill>
        </w:rPr>
        <w:t>罪案件13件。强化刑事审判监督。纠正审判活动违法3件；检察长列席审判委员会3次，促进诉审工作良性互动；提请抗诉3件，均获改判支持。</w:t>
      </w:r>
      <w:r>
        <w:rPr>
          <w:rFonts w:hint="default" w:ascii="Times New Roman" w:hAnsi="Times New Roman" w:eastAsia="仿宋" w:cs="Times New Roman"/>
          <w:b w:val="0"/>
          <w:bCs w:val="0"/>
          <w:strike w:val="0"/>
          <w:dstrike w:val="0"/>
          <w:color w:val="000000" w:themeColor="text1"/>
          <w:spacing w:val="0"/>
          <w:sz w:val="32"/>
          <w:szCs w:val="32"/>
          <w:u w:val="none"/>
          <w:lang w:val="en-US" w:eastAsia="zh-CN"/>
          <w14:textFill>
            <w14:solidFill>
              <w14:schemeClr w14:val="tx1"/>
            </w14:solidFill>
          </w14:textFill>
        </w:rPr>
        <w:t>强化刑事执行监督。</w:t>
      </w:r>
      <w:r>
        <w:rPr>
          <w:rFonts w:hint="default" w:ascii="Times New Roman" w:hAnsi="Times New Roman" w:eastAsia="仿宋" w:cs="Times New Roman"/>
          <w:color w:val="000000" w:themeColor="text1"/>
          <w:sz w:val="32"/>
          <w:szCs w:val="32"/>
          <w:lang w:eastAsia="zh-CN"/>
          <w14:textFill>
            <w14:solidFill>
              <w14:schemeClr w14:val="tx1"/>
            </w14:solidFill>
          </w14:textFill>
        </w:rPr>
        <w:t>纠正</w:t>
      </w:r>
      <w:r>
        <w:rPr>
          <w:rFonts w:hint="default" w:ascii="Times New Roman" w:hAnsi="Times New Roman" w:eastAsia="仿宋" w:cs="Times New Roman"/>
          <w:color w:val="000000" w:themeColor="text1"/>
          <w:sz w:val="32"/>
          <w:szCs w:val="32"/>
          <w14:textFill>
            <w14:solidFill>
              <w14:schemeClr w14:val="tx1"/>
            </w14:solidFill>
          </w14:textFill>
        </w:rPr>
        <w:t>刑罚执行和监管</w:t>
      </w:r>
      <w:r>
        <w:rPr>
          <w:rFonts w:hint="default" w:ascii="Times New Roman" w:hAnsi="Times New Roman" w:eastAsia="仿宋" w:cs="Times New Roman"/>
          <w:color w:val="000000" w:themeColor="text1"/>
          <w:sz w:val="32"/>
          <w:szCs w:val="32"/>
          <w:lang w:eastAsia="zh-CN"/>
          <w14:textFill>
            <w14:solidFill>
              <w14:schemeClr w14:val="tx1"/>
            </w14:solidFill>
          </w14:textFill>
        </w:rPr>
        <w:t>活动</w:t>
      </w:r>
      <w:r>
        <w:rPr>
          <w:rFonts w:hint="default" w:ascii="Times New Roman" w:hAnsi="Times New Roman" w:eastAsia="仿宋" w:cs="Times New Roman"/>
          <w:color w:val="000000" w:themeColor="text1"/>
          <w:sz w:val="32"/>
          <w:szCs w:val="32"/>
          <w14:textFill>
            <w14:solidFill>
              <w14:schemeClr w14:val="tx1"/>
            </w14:solidFill>
          </w14:textFill>
        </w:rPr>
        <w:t>违法</w:t>
      </w:r>
      <w:r>
        <w:rPr>
          <w:rFonts w:hint="default" w:ascii="Times New Roman" w:hAnsi="Times New Roman" w:eastAsia="仿宋" w:cs="Times New Roman"/>
          <w:color w:val="000000" w:themeColor="text1"/>
          <w:sz w:val="32"/>
          <w:szCs w:val="32"/>
          <w:lang w:val="en-US" w:eastAsia="zh-CN"/>
          <w14:textFill>
            <w14:solidFill>
              <w14:schemeClr w14:val="tx1"/>
            </w14:solidFill>
          </w14:textFill>
        </w:rPr>
        <w:t>12</w:t>
      </w:r>
      <w:r>
        <w:rPr>
          <w:rFonts w:hint="default" w:ascii="Times New Roman" w:hAnsi="Times New Roman" w:eastAsia="仿宋" w:cs="Times New Roman"/>
          <w:color w:val="000000" w:themeColor="text1"/>
          <w:sz w:val="32"/>
          <w:szCs w:val="32"/>
          <w14:textFill>
            <w14:solidFill>
              <w14:schemeClr w14:val="tx1"/>
            </w14:solidFill>
          </w14:textFill>
        </w:rPr>
        <w:t>件</w:t>
      </w:r>
      <w:r>
        <w:rPr>
          <w:rFonts w:hint="default" w:ascii="Times New Roman" w:hAnsi="Times New Roman" w:eastAsia="仿宋" w:cs="Times New Roman"/>
          <w:color w:val="000000" w:themeColor="text1"/>
          <w:sz w:val="32"/>
          <w:szCs w:val="32"/>
          <w:lang w:eastAsia="zh-CN"/>
          <w14:textFill>
            <w14:solidFill>
              <w14:schemeClr w14:val="tx1"/>
            </w14:solidFill>
          </w14:textFill>
        </w:rPr>
        <w:t>、</w:t>
      </w:r>
      <w:r>
        <w:rPr>
          <w:rFonts w:hint="default" w:ascii="Times New Roman" w:hAnsi="Times New Roman" w:eastAsia="仿宋" w:cs="Times New Roman"/>
          <w:color w:val="000000" w:themeColor="text1"/>
          <w:sz w:val="32"/>
          <w:szCs w:val="32"/>
          <w14:textFill>
            <w14:solidFill>
              <w14:schemeClr w14:val="tx1"/>
            </w14:solidFill>
          </w14:textFill>
        </w:rPr>
        <w:t>监外执行</w:t>
      </w:r>
      <w:r>
        <w:rPr>
          <w:rFonts w:hint="default" w:ascii="Times New Roman" w:hAnsi="Times New Roman" w:eastAsia="仿宋" w:cs="Times New Roman"/>
          <w:color w:val="000000" w:themeColor="text1"/>
          <w:sz w:val="32"/>
          <w:szCs w:val="32"/>
          <w:lang w:eastAsia="zh-CN"/>
          <w14:textFill>
            <w14:solidFill>
              <w14:schemeClr w14:val="tx1"/>
            </w14:solidFill>
          </w14:textFill>
        </w:rPr>
        <w:t>（社区矫正）违法</w:t>
      </w:r>
      <w:r>
        <w:rPr>
          <w:rFonts w:hint="default" w:ascii="Times New Roman" w:hAnsi="Times New Roman" w:eastAsia="仿宋" w:cs="Times New Roman"/>
          <w:color w:val="000000" w:themeColor="text1"/>
          <w:sz w:val="32"/>
          <w:szCs w:val="32"/>
          <w:lang w:val="en-US" w:eastAsia="zh-CN"/>
          <w14:textFill>
            <w14:solidFill>
              <w14:schemeClr w14:val="tx1"/>
            </w14:solidFill>
          </w14:textFill>
        </w:rPr>
        <w:t>9</w:t>
      </w:r>
      <w:r>
        <w:rPr>
          <w:rFonts w:hint="default" w:ascii="Times New Roman" w:hAnsi="Times New Roman" w:eastAsia="仿宋" w:cs="Times New Roman"/>
          <w:color w:val="000000" w:themeColor="text1"/>
          <w:sz w:val="32"/>
          <w:szCs w:val="32"/>
          <w14:textFill>
            <w14:solidFill>
              <w14:schemeClr w14:val="tx1"/>
            </w14:solidFill>
          </w14:textFill>
        </w:rPr>
        <w:t>人</w:t>
      </w:r>
      <w:r>
        <w:rPr>
          <w:rFonts w:hint="default" w:ascii="Times New Roman" w:hAnsi="Times New Roman" w:eastAsia="仿宋" w:cs="Times New Roman"/>
          <w:color w:val="000000" w:themeColor="text1"/>
          <w:sz w:val="32"/>
          <w:szCs w:val="32"/>
          <w:lang w:eastAsia="zh-CN"/>
          <w14:textFill>
            <w14:solidFill>
              <w14:schemeClr w14:val="tx1"/>
            </w14:solidFill>
          </w14:textFill>
        </w:rPr>
        <w:t>；开展“应收监未收监”专项监督，督促对</w:t>
      </w:r>
      <w:r>
        <w:rPr>
          <w:rFonts w:hint="default" w:ascii="Times New Roman" w:hAnsi="Times New Roman" w:eastAsia="仿宋" w:cs="Times New Roman"/>
          <w:color w:val="000000" w:themeColor="text1"/>
          <w:sz w:val="32"/>
          <w:szCs w:val="32"/>
          <w:lang w:val="en-US" w:eastAsia="zh-CN"/>
          <w14:textFill>
            <w14:solidFill>
              <w14:schemeClr w14:val="tx1"/>
            </w14:solidFill>
          </w14:textFill>
        </w:rPr>
        <w:t>3名罪犯收监执行；</w:t>
      </w:r>
      <w:r>
        <w:rPr>
          <w:rFonts w:hint="default" w:ascii="Times New Roman" w:hAnsi="Times New Roman" w:eastAsia="仿宋" w:cs="Times New Roman"/>
          <w:b w:val="0"/>
          <w:bCs w:val="0"/>
          <w:color w:val="000000" w:themeColor="text1"/>
          <w:sz w:val="32"/>
          <w:szCs w:val="32"/>
          <w:lang w:val="en-US" w:eastAsia="zh-CN"/>
          <w14:textFill>
            <w14:solidFill>
              <w14:schemeClr w14:val="tx1"/>
            </w14:solidFill>
          </w14:textFill>
        </w:rPr>
        <w:t>依法监督取消被剥夺政治权利人员的选民资格，护航基层换届选举；</w:t>
      </w:r>
      <w:r>
        <w:rPr>
          <w:rFonts w:hint="default" w:ascii="Times New Roman" w:hAnsi="Times New Roman" w:eastAsia="仿宋" w:cs="Times New Roman"/>
          <w:color w:val="000000" w:themeColor="text1"/>
          <w:spacing w:val="0"/>
          <w:kern w:val="2"/>
          <w:sz w:val="32"/>
          <w:szCs w:val="32"/>
          <w:u w:val="none"/>
          <w:rtl w:val="0"/>
          <w:lang w:val="en-US" w:eastAsia="zh-CN" w:bidi="ar-SA"/>
          <w14:textFill>
            <w14:solidFill>
              <w14:schemeClr w14:val="tx1"/>
            </w14:solidFill>
          </w14:textFill>
        </w:rPr>
        <w:t>办理的“李某某请假外出监督案”获评全省典型案例。</w:t>
      </w:r>
    </w:p>
    <w:p>
      <w:pPr>
        <w:keepNext w:val="0"/>
        <w:keepLines w:val="0"/>
        <w:pageBreakBefore w:val="0"/>
        <w:widowControl w:val="0"/>
        <w:kinsoku/>
        <w:wordWrap/>
        <w:overflowPunct/>
        <w:topLinePunct w:val="0"/>
        <w:autoSpaceDN/>
        <w:bidi w:val="0"/>
        <w:spacing w:line="560" w:lineRule="exact"/>
        <w:ind w:firstLine="643" w:firstLineChars="200"/>
        <w:textAlignment w:val="auto"/>
        <w:rPr>
          <w:rFonts w:hint="default" w:ascii="Times New Roman" w:hAnsi="Times New Roman" w:eastAsia="仿宋_GB2312" w:cs="Times New Roman"/>
          <w:strike w:val="0"/>
          <w:dstrike w:val="0"/>
          <w:color w:val="000000" w:themeColor="text1"/>
          <w:spacing w:val="0"/>
          <w:sz w:val="32"/>
          <w:szCs w:val="32"/>
          <w:u w:val="none"/>
          <w:lang w:val="en-US" w:eastAsia="zh-CN"/>
          <w14:textFill>
            <w14:solidFill>
              <w14:schemeClr w14:val="tx1"/>
            </w14:solidFill>
          </w14:textFill>
        </w:rPr>
      </w:pPr>
      <w:r>
        <w:rPr>
          <w:rFonts w:hint="eastAsia" w:eastAsia="楷体" w:cs="Times New Roman"/>
          <w:b/>
          <w:bCs/>
          <w:color w:val="000000" w:themeColor="text1"/>
          <w:spacing w:val="0"/>
          <w:sz w:val="32"/>
          <w:szCs w:val="32"/>
          <w:u w:val="none"/>
          <w:lang w:val="en-US" w:eastAsia="zh-CN"/>
          <w14:textFill>
            <w14:solidFill>
              <w14:schemeClr w14:val="tx1"/>
            </w14:solidFill>
          </w14:textFill>
        </w:rPr>
        <w:t>2、</w:t>
      </w:r>
      <w:r>
        <w:rPr>
          <w:rFonts w:hint="default" w:ascii="Times New Roman" w:hAnsi="Times New Roman" w:eastAsia="楷体" w:cs="Times New Roman"/>
          <w:b/>
          <w:bCs/>
          <w:color w:val="000000" w:themeColor="text1"/>
          <w:spacing w:val="0"/>
          <w:sz w:val="32"/>
          <w:szCs w:val="32"/>
          <w:u w:val="none"/>
          <w:lang w:val="en-US" w:eastAsia="zh-CN"/>
          <w14:textFill>
            <w14:solidFill>
              <w14:schemeClr w14:val="tx1"/>
            </w14:solidFill>
          </w14:textFill>
        </w:rPr>
        <w:t>能动精准做强民事检察。</w:t>
      </w:r>
      <w:r>
        <w:rPr>
          <w:rFonts w:hint="default" w:ascii="Times New Roman" w:hAnsi="Times New Roman" w:eastAsia="仿宋" w:cs="Times New Roman"/>
          <w:color w:val="000000" w:themeColor="text1"/>
          <w:spacing w:val="0"/>
          <w:kern w:val="2"/>
          <w:sz w:val="32"/>
          <w:szCs w:val="32"/>
          <w:u w:val="none"/>
          <w:rtl w:val="0"/>
          <w:lang w:val="en-US" w:eastAsia="zh-CN" w:bidi="ar-SA"/>
          <w14:textFill>
            <w14:solidFill>
              <w14:schemeClr w14:val="tx1"/>
            </w14:solidFill>
          </w14:textFill>
        </w:rPr>
        <w:t>办理民事审判、执行监督案件51件，同比上升27%。对黄某某民间借贷纠纷案等2件案件依法监督并提请抗诉，均得到市检察院支持。办理审判程序和执行监督案件24件，提出检察建议18件，现场监督、支持执行工作8次。核查2件虚假诉讼线索并按程序移送相关部门，其中1案入选全省典型案例。</w:t>
      </w:r>
      <w:r>
        <w:rPr>
          <w:rFonts w:hint="default" w:ascii="Times New Roman" w:hAnsi="Times New Roman" w:eastAsia="仿宋" w:cs="Times New Roman"/>
          <w:color w:val="000000" w:themeColor="text1"/>
          <w:sz w:val="32"/>
          <w:szCs w:val="32"/>
          <w14:textFill>
            <w14:solidFill>
              <w14:schemeClr w14:val="tx1"/>
            </w14:solidFill>
          </w14:textFill>
        </w:rPr>
        <w:t>做好息诉服判工作</w:t>
      </w:r>
      <w:r>
        <w:rPr>
          <w:rFonts w:hint="default" w:ascii="Times New Roman" w:hAnsi="Times New Roman" w:eastAsia="仿宋" w:cs="Times New Roman"/>
          <w:color w:val="000000" w:themeColor="text1"/>
          <w:sz w:val="32"/>
          <w:szCs w:val="32"/>
          <w:lang w:eastAsia="zh-CN"/>
          <w14:textFill>
            <w14:solidFill>
              <w14:schemeClr w14:val="tx1"/>
            </w14:solidFill>
          </w14:textFill>
        </w:rPr>
        <w:t>，</w:t>
      </w:r>
      <w:r>
        <w:rPr>
          <w:rFonts w:hint="default" w:ascii="Times New Roman" w:hAnsi="Times New Roman" w:eastAsia="仿宋" w:cs="Times New Roman"/>
          <w:color w:val="000000" w:themeColor="text1"/>
          <w:sz w:val="32"/>
          <w:szCs w:val="32"/>
          <w14:textFill>
            <w14:solidFill>
              <w14:schemeClr w14:val="tx1"/>
            </w14:solidFill>
          </w14:textFill>
        </w:rPr>
        <w:t>促成</w:t>
      </w:r>
      <w:r>
        <w:rPr>
          <w:rFonts w:hint="default" w:ascii="Times New Roman" w:hAnsi="Times New Roman" w:eastAsia="仿宋" w:cs="Times New Roman"/>
          <w:color w:val="000000" w:themeColor="text1"/>
          <w:sz w:val="32"/>
          <w:szCs w:val="32"/>
          <w:lang w:val="en-US" w:eastAsia="zh-CN"/>
          <w14:textFill>
            <w14:solidFill>
              <w14:schemeClr w14:val="tx1"/>
            </w14:solidFill>
          </w14:textFill>
        </w:rPr>
        <w:t>12件民事监督案件当事人</w:t>
      </w:r>
      <w:r>
        <w:rPr>
          <w:rFonts w:hint="default" w:ascii="Times New Roman" w:hAnsi="Times New Roman" w:eastAsia="仿宋" w:cs="Times New Roman"/>
          <w:color w:val="000000" w:themeColor="text1"/>
          <w:sz w:val="32"/>
          <w:szCs w:val="32"/>
          <w14:textFill>
            <w14:solidFill>
              <w14:schemeClr w14:val="tx1"/>
            </w14:solidFill>
          </w14:textFill>
        </w:rPr>
        <w:t>达成和</w:t>
      </w:r>
      <w:r>
        <w:rPr>
          <w:rFonts w:hint="default" w:ascii="Times New Roman" w:hAnsi="Times New Roman" w:eastAsia="仿宋" w:cs="Times New Roman"/>
          <w:color w:val="000000" w:themeColor="text1"/>
          <w:sz w:val="32"/>
          <w:szCs w:val="32"/>
          <w:lang w:eastAsia="zh-CN"/>
          <w14:textFill>
            <w14:solidFill>
              <w14:schemeClr w14:val="tx1"/>
            </w14:solidFill>
          </w14:textFill>
        </w:rPr>
        <w:t>解</w:t>
      </w:r>
      <w:r>
        <w:rPr>
          <w:rFonts w:hint="default" w:ascii="Times New Roman" w:hAnsi="Times New Roman" w:eastAsia="仿宋" w:cs="Times New Roman"/>
          <w:color w:val="000000" w:themeColor="text1"/>
          <w:sz w:val="32"/>
          <w:szCs w:val="32"/>
          <w:lang w:val="en-US" w:eastAsia="zh-CN"/>
          <w14:textFill>
            <w14:solidFill>
              <w14:schemeClr w14:val="tx1"/>
            </w14:solidFill>
          </w14:textFill>
        </w:rPr>
        <w:t>。</w:t>
      </w:r>
    </w:p>
    <w:p>
      <w:pPr>
        <w:keepNext w:val="0"/>
        <w:keepLines w:val="0"/>
        <w:pageBreakBefore w:val="0"/>
        <w:widowControl w:val="0"/>
        <w:kinsoku/>
        <w:wordWrap/>
        <w:overflowPunct/>
        <w:topLinePunct w:val="0"/>
        <w:autoSpaceDN/>
        <w:bidi w:val="0"/>
        <w:spacing w:line="560" w:lineRule="exact"/>
        <w:ind w:firstLine="643" w:firstLineChars="200"/>
        <w:textAlignment w:val="auto"/>
        <w:rPr>
          <w:rFonts w:hint="default" w:ascii="Times New Roman" w:hAnsi="Times New Roman" w:eastAsia="仿宋" w:cs="Times New Roman"/>
          <w:color w:val="000000" w:themeColor="text1"/>
          <w:spacing w:val="0"/>
          <w:kern w:val="2"/>
          <w:sz w:val="32"/>
          <w:szCs w:val="32"/>
          <w:u w:val="none"/>
          <w:rtl w:val="0"/>
          <w:lang w:val="en-US" w:eastAsia="zh-CN" w:bidi="ar-SA"/>
          <w14:textFill>
            <w14:solidFill>
              <w14:schemeClr w14:val="tx1"/>
            </w14:solidFill>
          </w14:textFill>
        </w:rPr>
      </w:pPr>
      <w:r>
        <w:rPr>
          <w:rFonts w:hint="eastAsia" w:eastAsia="楷体" w:cs="Times New Roman"/>
          <w:b/>
          <w:bCs/>
          <w:color w:val="000000" w:themeColor="text1"/>
          <w:spacing w:val="0"/>
          <w:sz w:val="32"/>
          <w:szCs w:val="32"/>
          <w:u w:val="none"/>
          <w:lang w:val="en-US" w:eastAsia="zh-CN"/>
          <w14:textFill>
            <w14:solidFill>
              <w14:schemeClr w14:val="tx1"/>
            </w14:solidFill>
          </w14:textFill>
        </w:rPr>
        <w:t>3、</w:t>
      </w:r>
      <w:r>
        <w:rPr>
          <w:rFonts w:hint="default" w:ascii="Times New Roman" w:hAnsi="Times New Roman" w:eastAsia="楷体" w:cs="Times New Roman"/>
          <w:b/>
          <w:bCs/>
          <w:color w:val="000000" w:themeColor="text1"/>
          <w:spacing w:val="0"/>
          <w:sz w:val="32"/>
          <w:szCs w:val="32"/>
          <w:u w:val="none"/>
          <w:lang w:val="en-US" w:eastAsia="zh-CN"/>
          <w14:textFill>
            <w14:solidFill>
              <w14:schemeClr w14:val="tx1"/>
            </w14:solidFill>
          </w14:textFill>
        </w:rPr>
        <w:t>稳中求进</w:t>
      </w:r>
      <w:r>
        <w:rPr>
          <w:rFonts w:hint="default" w:ascii="Times New Roman" w:hAnsi="Times New Roman" w:eastAsia="楷体" w:cs="Times New Roman"/>
          <w:b/>
          <w:bCs/>
          <w:color w:val="000000" w:themeColor="text1"/>
          <w:spacing w:val="0"/>
          <w:sz w:val="32"/>
          <w:szCs w:val="32"/>
          <w:u w:val="none"/>
          <w:rtl w:val="0"/>
          <w:lang w:val="en-US" w:eastAsia="zh-CN"/>
          <w14:textFill>
            <w14:solidFill>
              <w14:schemeClr w14:val="tx1"/>
            </w14:solidFill>
          </w14:textFill>
        </w:rPr>
        <w:t>做实行政检察。</w:t>
      </w:r>
      <w:r>
        <w:rPr>
          <w:rFonts w:hint="default" w:ascii="Times New Roman" w:hAnsi="Times New Roman" w:eastAsia="仿宋" w:cs="Times New Roman"/>
          <w:color w:val="000000" w:themeColor="text1"/>
          <w:spacing w:val="0"/>
          <w:kern w:val="2"/>
          <w:sz w:val="32"/>
          <w:szCs w:val="32"/>
          <w:u w:val="none"/>
          <w:rtl w:val="0"/>
          <w:lang w:val="en-US" w:eastAsia="zh-CN" w:bidi="ar-SA"/>
          <w14:textFill>
            <w14:solidFill>
              <w14:schemeClr w14:val="tx1"/>
            </w14:solidFill>
          </w14:textFill>
        </w:rPr>
        <w:t>办理行政生效裁判监督</w:t>
      </w:r>
      <w:r>
        <w:rPr>
          <w:rFonts w:hint="eastAsia" w:ascii="Times New Roman" w:hAnsi="Times New Roman" w:eastAsia="仿宋" w:cs="Times New Roman"/>
          <w:color w:val="000000" w:themeColor="text1"/>
          <w:spacing w:val="0"/>
          <w:kern w:val="2"/>
          <w:sz w:val="32"/>
          <w:szCs w:val="32"/>
          <w:u w:val="none"/>
          <w:rtl w:val="0"/>
          <w:lang w:val="en-US" w:eastAsia="zh-CN" w:bidi="ar-SA"/>
          <w14:textFill>
            <w14:solidFill>
              <w14:schemeClr w14:val="tx1"/>
            </w14:solidFill>
          </w14:textFill>
        </w:rPr>
        <w:t>案件</w:t>
      </w:r>
      <w:r>
        <w:rPr>
          <w:rFonts w:hint="default" w:ascii="Times New Roman" w:hAnsi="Times New Roman" w:eastAsia="仿宋" w:cs="Times New Roman"/>
          <w:color w:val="000000" w:themeColor="text1"/>
          <w:spacing w:val="0"/>
          <w:kern w:val="2"/>
          <w:sz w:val="32"/>
          <w:szCs w:val="32"/>
          <w:u w:val="none"/>
          <w:rtl w:val="0"/>
          <w:lang w:val="en-US" w:eastAsia="zh-CN" w:bidi="ar-SA"/>
          <w14:textFill>
            <w14:solidFill>
              <w14:schemeClr w14:val="tx1"/>
            </w14:solidFill>
          </w14:textFill>
        </w:rPr>
        <w:t>2件、执行监督案件6件，提出检察建议5件。积极发挥行政检察“一手托两家”职能优势，办理行政争议实质性化解案件2件，促进案结事了政和；在监督某混凝土公司违法占地非诉执行案中，联合相关部门组织公开听证，促成该案妥善解决；构建行政非诉执行联动机制，被纳入县委依法治县工作整体框架中予以实施。行政检察工作调研获最高检表彰。</w:t>
      </w:r>
    </w:p>
    <w:p>
      <w:pPr>
        <w:pStyle w:val="30"/>
        <w:keepNext w:val="0"/>
        <w:keepLines w:val="0"/>
        <w:pageBreakBefore w:val="0"/>
        <w:widowControl w:val="0"/>
        <w:kinsoku/>
        <w:wordWrap/>
        <w:overflowPunct/>
        <w:topLinePunct w:val="0"/>
        <w:autoSpaceDN/>
        <w:bidi w:val="0"/>
        <w:spacing w:line="560" w:lineRule="exact"/>
        <w:ind w:left="0" w:leftChars="0" w:firstLine="643" w:firstLineChars="200"/>
        <w:textAlignment w:val="auto"/>
        <w:rPr>
          <w:rFonts w:hint="default" w:ascii="Times New Roman" w:hAnsi="Times New Roman" w:cs="Times New Roman"/>
          <w:color w:val="000000" w:themeColor="text1"/>
          <w:sz w:val="21"/>
          <w:szCs w:val="24"/>
          <w:lang w:val="en-US" w:eastAsia="zh-CN"/>
          <w14:textFill>
            <w14:solidFill>
              <w14:schemeClr w14:val="tx1"/>
            </w14:solidFill>
          </w14:textFill>
        </w:rPr>
      </w:pPr>
      <w:r>
        <w:rPr>
          <w:rFonts w:hint="eastAsia" w:eastAsia="楷体" w:cs="Times New Roman"/>
          <w:b/>
          <w:bCs/>
          <w:color w:val="000000" w:themeColor="text1"/>
          <w:spacing w:val="0"/>
          <w:kern w:val="2"/>
          <w:sz w:val="32"/>
          <w:szCs w:val="32"/>
          <w:u w:val="none"/>
          <w:lang w:val="en-US" w:eastAsia="zh-CN" w:bidi="ar-SA"/>
          <w14:textFill>
            <w14:solidFill>
              <w14:schemeClr w14:val="tx1"/>
            </w14:solidFill>
          </w14:textFill>
        </w:rPr>
        <w:t>4、</w:t>
      </w:r>
      <w:r>
        <w:rPr>
          <w:rFonts w:hint="default" w:ascii="Times New Roman" w:hAnsi="Times New Roman" w:eastAsia="楷体" w:cs="Times New Roman"/>
          <w:b/>
          <w:bCs/>
          <w:color w:val="000000" w:themeColor="text1"/>
          <w:spacing w:val="0"/>
          <w:kern w:val="2"/>
          <w:sz w:val="32"/>
          <w:szCs w:val="32"/>
          <w:u w:val="none"/>
          <w:lang w:val="en-US" w:eastAsia="zh-CN" w:bidi="ar-SA"/>
          <w14:textFill>
            <w14:solidFill>
              <w14:schemeClr w14:val="tx1"/>
            </w14:solidFill>
          </w14:textFill>
        </w:rPr>
        <w:t>善作善成做亮公益诉讼</w:t>
      </w:r>
      <w:r>
        <w:rPr>
          <w:rFonts w:hint="default" w:ascii="Times New Roman" w:hAnsi="Times New Roman" w:eastAsia="楷体" w:cs="Times New Roman"/>
          <w:b/>
          <w:bCs/>
          <w:color w:val="000000" w:themeColor="text1"/>
          <w:spacing w:val="0"/>
          <w:kern w:val="2"/>
          <w:sz w:val="32"/>
          <w:szCs w:val="32"/>
          <w:u w:val="none"/>
          <w:rtl w:val="0"/>
          <w:lang w:val="en-US" w:eastAsia="zh-CN" w:bidi="ar-SA"/>
          <w14:textFill>
            <w14:solidFill>
              <w14:schemeClr w14:val="tx1"/>
            </w14:solidFill>
          </w14:textFill>
        </w:rPr>
        <w:t>。</w:t>
      </w:r>
      <w:r>
        <w:rPr>
          <w:rFonts w:hint="default" w:ascii="Times New Roman" w:hAnsi="Times New Roman" w:eastAsia="仿宋" w:cs="Times New Roman"/>
          <w:color w:val="000000" w:themeColor="text1"/>
          <w:spacing w:val="0"/>
          <w:kern w:val="2"/>
          <w:sz w:val="32"/>
          <w:szCs w:val="32"/>
          <w:u w:val="none"/>
          <w:rtl w:val="0"/>
          <w:lang w:val="en-US" w:eastAsia="zh-CN" w:bidi="ar-SA"/>
          <w14:textFill>
            <w14:solidFill>
              <w14:schemeClr w14:val="tx1"/>
            </w14:solidFill>
          </w14:textFill>
        </w:rPr>
        <w:t>实践“绿色+红色”的公益诉讼检察南江模式，摸排线索72件，立案50件，发出诉前检察建议29件</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均获采纳</w:t>
      </w:r>
      <w:r>
        <w:rPr>
          <w:rFonts w:hint="default" w:ascii="Times New Roman" w:hAnsi="Times New Roman" w:eastAsia="仿宋" w:cs="Times New Roman"/>
          <w:color w:val="000000" w:themeColor="text1"/>
          <w:spacing w:val="0"/>
          <w:kern w:val="2"/>
          <w:sz w:val="32"/>
          <w:szCs w:val="32"/>
          <w:u w:val="none"/>
          <w:rtl w:val="0"/>
          <w:lang w:val="en-US" w:eastAsia="zh-CN" w:bidi="ar-SA"/>
          <w14:textFill>
            <w14:solidFill>
              <w14:schemeClr w14:val="tx1"/>
            </w14:solidFill>
          </w14:textFill>
        </w:rPr>
        <w:t>，结案率100%。加强生态环境和自然资源领域办案力度，对8名被告人依法提起刑事附带民事诉讼，均获判决支持。协同林业部门办理生态损害赔偿案，督促当事人补植树木160株；探索实践公益劳动替代生态损害赔偿，2名滥伐林木被告人担负护林义务。开展红色文物保护专项监督，</w:t>
      </w:r>
      <w:r>
        <w:rPr>
          <w:rFonts w:hint="default" w:ascii="Times New Roman" w:hAnsi="Times New Roman" w:eastAsia="仿宋" w:cs="Times New Roman"/>
          <w:color w:val="000000" w:themeColor="text1"/>
          <w:spacing w:val="0"/>
          <w:kern w:val="2"/>
          <w:sz w:val="32"/>
          <w:szCs w:val="32"/>
          <w:u w:val="none"/>
          <w:lang w:val="en-US" w:eastAsia="zh-CN" w:bidi="ar-SA"/>
          <w14:textFill>
            <w14:solidFill>
              <w14:schemeClr w14:val="tx1"/>
            </w14:solidFill>
          </w14:textFill>
        </w:rPr>
        <w:t>实地踏勘红军石刻标语93处，向主管部门</w:t>
      </w:r>
      <w:r>
        <w:rPr>
          <w:rFonts w:hint="default" w:ascii="Times New Roman" w:hAnsi="Times New Roman" w:eastAsia="仿宋" w:cs="Times New Roman"/>
          <w:color w:val="000000" w:themeColor="text1"/>
          <w:spacing w:val="0"/>
          <w:kern w:val="2"/>
          <w:sz w:val="32"/>
          <w:szCs w:val="32"/>
          <w:u w:val="none"/>
          <w:rtl w:val="0"/>
          <w:lang w:val="en-US" w:eastAsia="zh-CN" w:bidi="ar-SA"/>
          <w14:textFill>
            <w14:solidFill>
              <w14:schemeClr w14:val="tx1"/>
            </w14:solidFill>
          </w14:textFill>
        </w:rPr>
        <w:t>发出检察建议督促妥善保护</w:t>
      </w:r>
      <w:r>
        <w:rPr>
          <w:rFonts w:hint="default" w:ascii="Times New Roman" w:hAnsi="Times New Roman" w:eastAsia="仿宋" w:cs="Times New Roman"/>
          <w:color w:val="000000" w:themeColor="text1"/>
          <w:spacing w:val="0"/>
          <w:kern w:val="2"/>
          <w:sz w:val="32"/>
          <w:szCs w:val="32"/>
          <w:u w:val="none"/>
          <w:lang w:val="en-US" w:eastAsia="zh-CN" w:bidi="ar-SA"/>
          <w14:textFill>
            <w14:solidFill>
              <w14:schemeClr w14:val="tx1"/>
            </w14:solidFill>
          </w14:textFill>
        </w:rPr>
        <w:t>。</w:t>
      </w:r>
    </w:p>
    <w:p>
      <w:pPr>
        <w:pStyle w:val="4"/>
        <w:rPr>
          <w:rStyle w:val="26"/>
          <w:b w:val="0"/>
          <w:bCs w:val="0"/>
        </w:rPr>
      </w:pPr>
      <w:r>
        <w:rPr>
          <w:rFonts w:hint="eastAsia" w:ascii="黑体" w:eastAsia="黑体"/>
          <w:b w:val="0"/>
          <w:color w:val="000000"/>
        </w:rPr>
        <w:t>二、</w:t>
      </w:r>
      <w:r>
        <w:rPr>
          <w:rFonts w:hint="eastAsia" w:ascii="黑体" w:hAnsi="黑体" w:eastAsia="黑体"/>
          <w:b w:val="0"/>
          <w:color w:val="000000"/>
        </w:rPr>
        <w:t>机</w:t>
      </w:r>
      <w:r>
        <w:rPr>
          <w:rStyle w:val="26"/>
          <w:rFonts w:hint="eastAsia" w:ascii="黑体" w:hAnsi="黑体" w:eastAsia="黑体"/>
          <w:b w:val="0"/>
          <w:bCs w:val="0"/>
        </w:rPr>
        <w:t>构设置</w:t>
      </w:r>
      <w:bookmarkEnd w:id="8"/>
      <w:bookmarkEnd w:id="9"/>
    </w:p>
    <w:p>
      <w:pPr>
        <w:keepNext w:val="0"/>
        <w:keepLines w:val="0"/>
        <w:pageBreakBefore w:val="0"/>
        <w:kinsoku/>
        <w:wordWrap/>
        <w:overflowPunct/>
        <w:topLinePunct w:val="0"/>
        <w:bidi w:val="0"/>
        <w:spacing w:line="560" w:lineRule="exact"/>
        <w:ind w:firstLine="630"/>
        <w:textAlignment w:val="auto"/>
        <w:rPr>
          <w:rFonts w:hint="eastAsia" w:ascii="仿宋" w:hAnsi="仿宋" w:eastAsia="仿宋" w:cs="Times New Roman"/>
          <w:color w:val="000000"/>
          <w:kern w:val="2"/>
          <w:sz w:val="32"/>
          <w:szCs w:val="32"/>
          <w:lang w:val="en-US" w:eastAsia="zh-CN" w:bidi="ar-SA"/>
        </w:rPr>
      </w:pPr>
      <w:r>
        <w:rPr>
          <w:rFonts w:hint="eastAsia" w:ascii="仿宋" w:hAnsi="仿宋" w:eastAsia="仿宋" w:cs="Times New Roman"/>
          <w:color w:val="000000"/>
          <w:kern w:val="2"/>
          <w:sz w:val="32"/>
          <w:szCs w:val="32"/>
          <w:lang w:val="en-US" w:eastAsia="zh-CN" w:bidi="ar-SA"/>
        </w:rPr>
        <w:t>南江县人民检察院系一级预算单位，无下属二级单位，设第一检察部、第二检察部、第三检察部、政治部、办公室等5个内设机构和派驻检察室</w:t>
      </w:r>
      <w:r>
        <w:rPr>
          <w:rFonts w:hint="default" w:ascii="仿宋" w:hAnsi="仿宋" w:eastAsia="仿宋" w:cs="Times New Roman"/>
          <w:color w:val="000000"/>
          <w:kern w:val="2"/>
          <w:sz w:val="32"/>
          <w:szCs w:val="32"/>
          <w:lang w:val="en-US" w:eastAsia="zh-CN" w:bidi="ar-SA"/>
        </w:rPr>
        <w:t>5个</w:t>
      </w:r>
      <w:r>
        <w:rPr>
          <w:rFonts w:hint="eastAsia" w:ascii="仿宋" w:hAnsi="仿宋" w:eastAsia="仿宋" w:cs="Times New Roman"/>
          <w:color w:val="000000"/>
          <w:kern w:val="2"/>
          <w:sz w:val="32"/>
          <w:szCs w:val="32"/>
          <w:lang w:val="en-US" w:eastAsia="zh-CN" w:bidi="ar-SA"/>
        </w:rPr>
        <w:t>。</w:t>
      </w:r>
      <w:r>
        <w:rPr>
          <w:rFonts w:hint="default" w:ascii="仿宋" w:hAnsi="仿宋" w:eastAsia="仿宋" w:cs="Times New Roman"/>
          <w:color w:val="000000"/>
          <w:kern w:val="2"/>
          <w:sz w:val="32"/>
          <w:szCs w:val="32"/>
          <w:lang w:val="en-US" w:eastAsia="zh-CN" w:bidi="ar-SA"/>
        </w:rPr>
        <w:t>核定</w:t>
      </w:r>
      <w:r>
        <w:rPr>
          <w:rFonts w:hint="eastAsia" w:ascii="仿宋" w:hAnsi="仿宋" w:eastAsia="仿宋" w:cs="Times New Roman"/>
          <w:color w:val="000000"/>
          <w:kern w:val="2"/>
          <w:sz w:val="32"/>
          <w:szCs w:val="32"/>
          <w:lang w:val="en-US" w:eastAsia="zh-CN" w:bidi="ar-SA"/>
        </w:rPr>
        <w:t>人员编制64人，其中政法编制48人、事业编制5人、机关工勤11人。年终决算人数为63人，其中政法编制人员48人，事业人员5人，机关工勤9人</w:t>
      </w:r>
      <w:r>
        <w:rPr>
          <w:rFonts w:hint="default" w:ascii="仿宋" w:hAnsi="仿宋" w:eastAsia="仿宋" w:cs="Times New Roman"/>
          <w:color w:val="000000"/>
          <w:kern w:val="2"/>
          <w:sz w:val="32"/>
          <w:szCs w:val="32"/>
          <w:lang w:val="en-US" w:eastAsia="zh-CN" w:bidi="ar-SA"/>
        </w:rPr>
        <w:t>，</w:t>
      </w:r>
      <w:r>
        <w:rPr>
          <w:rFonts w:hint="eastAsia" w:ascii="仿宋" w:hAnsi="仿宋" w:eastAsia="仿宋" w:cs="Times New Roman"/>
          <w:color w:val="000000"/>
          <w:kern w:val="2"/>
          <w:sz w:val="32"/>
          <w:szCs w:val="32"/>
          <w:lang w:val="en-US" w:eastAsia="zh-CN" w:bidi="ar-SA"/>
        </w:rPr>
        <w:t xml:space="preserve">长赡人员1人。  </w:t>
      </w:r>
    </w:p>
    <w:p>
      <w:pPr>
        <w:pStyle w:val="3"/>
        <w:ind w:right="440"/>
        <w:jc w:val="right"/>
      </w:pPr>
      <w:bookmarkStart w:id="10" w:name="_Toc15377204"/>
      <w:bookmarkStart w:id="11" w:name="_Toc15396602"/>
      <w:r>
        <w:rPr>
          <w:rFonts w:hint="eastAsia" w:ascii="黑体" w:hAnsi="黑体" w:eastAsia="黑体"/>
          <w:b w:val="0"/>
          <w:color w:val="000000"/>
        </w:rPr>
        <w:t>第二部分</w:t>
      </w:r>
      <w:r>
        <w:rPr>
          <w:rStyle w:val="25"/>
          <w:rFonts w:hint="eastAsia" w:ascii="黑体" w:hAnsi="黑体" w:eastAsia="黑体"/>
          <w:b w:val="0"/>
          <w:bCs w:val="0"/>
        </w:rPr>
        <w:t>20</w:t>
      </w:r>
      <w:r>
        <w:rPr>
          <w:rStyle w:val="25"/>
          <w:rFonts w:hint="eastAsia" w:ascii="黑体" w:hAnsi="黑体" w:eastAsia="黑体"/>
          <w:b w:val="0"/>
          <w:bCs w:val="0"/>
          <w:lang w:val="en-US" w:eastAsia="zh-CN"/>
        </w:rPr>
        <w:t>21</w:t>
      </w:r>
      <w:r>
        <w:rPr>
          <w:rStyle w:val="25"/>
          <w:rFonts w:hint="eastAsia" w:ascii="黑体" w:hAnsi="黑体" w:eastAsia="黑体"/>
          <w:b w:val="0"/>
          <w:bCs w:val="0"/>
        </w:rPr>
        <w:t>年度部门决算情况说明</w:t>
      </w:r>
      <w:bookmarkEnd w:id="10"/>
      <w:bookmarkEnd w:id="11"/>
    </w:p>
    <w:p>
      <w:pPr>
        <w:pStyle w:val="24"/>
        <w:numPr>
          <w:ilvl w:val="0"/>
          <w:numId w:val="1"/>
        </w:numPr>
        <w:spacing w:line="600" w:lineRule="exact"/>
        <w:ind w:firstLineChars="0"/>
        <w:outlineLvl w:val="1"/>
        <w:rPr>
          <w:rStyle w:val="26"/>
          <w:rFonts w:ascii="黑体" w:hAnsi="黑体" w:eastAsia="黑体"/>
          <w:b w:val="0"/>
        </w:rPr>
      </w:pPr>
      <w:bookmarkStart w:id="12" w:name="_Toc15396603"/>
      <w:bookmarkStart w:id="13" w:name="_Toc15377205"/>
      <w:r>
        <w:rPr>
          <w:rFonts w:hint="eastAsia" w:ascii="黑体" w:hAnsi="黑体" w:eastAsia="黑体"/>
          <w:color w:val="000000"/>
          <w:sz w:val="32"/>
          <w:szCs w:val="32"/>
        </w:rPr>
        <w:t>收</w:t>
      </w:r>
      <w:r>
        <w:rPr>
          <w:rStyle w:val="26"/>
          <w:rFonts w:hint="eastAsia" w:ascii="黑体" w:hAnsi="黑体" w:eastAsia="黑体"/>
          <w:b w:val="0"/>
        </w:rPr>
        <w:t>入支出决算总体情况说明</w:t>
      </w:r>
      <w:bookmarkEnd w:id="12"/>
      <w:bookmarkEnd w:id="13"/>
    </w:p>
    <w:p>
      <w:pPr>
        <w:spacing w:line="240" w:lineRule="auto"/>
        <w:ind w:firstLine="640" w:firstLineChars="200"/>
        <w:jc w:val="left"/>
        <w:rPr>
          <w:rFonts w:hint="eastAsia" w:ascii="仿宋" w:hAnsi="仿宋" w:eastAsia="仿宋"/>
          <w:color w:val="000000"/>
          <w:sz w:val="32"/>
          <w:szCs w:val="32"/>
          <w:lang w:val="en-US" w:eastAsia="zh-CN"/>
        </w:rPr>
      </w:pPr>
      <w:r>
        <w:rPr>
          <w:rFonts w:hint="eastAsia" w:ascii="仿宋" w:hAnsi="仿宋" w:eastAsia="仿宋"/>
          <w:color w:val="000000"/>
          <w:sz w:val="32"/>
          <w:szCs w:val="32"/>
        </w:rPr>
        <w:t>20</w:t>
      </w:r>
      <w:r>
        <w:rPr>
          <w:rFonts w:hint="eastAsia" w:ascii="仿宋" w:hAnsi="仿宋" w:eastAsia="仿宋"/>
          <w:color w:val="000000"/>
          <w:sz w:val="32"/>
          <w:szCs w:val="32"/>
          <w:lang w:val="en-US" w:eastAsia="zh-CN"/>
        </w:rPr>
        <w:t>21</w:t>
      </w:r>
      <w:r>
        <w:rPr>
          <w:rFonts w:hint="eastAsia" w:ascii="仿宋" w:hAnsi="仿宋" w:eastAsia="仿宋"/>
          <w:color w:val="000000"/>
          <w:sz w:val="32"/>
          <w:szCs w:val="32"/>
        </w:rPr>
        <w:t>年度收、支总计</w:t>
      </w:r>
      <w:r>
        <w:rPr>
          <w:rFonts w:hint="eastAsia" w:ascii="仿宋" w:hAnsi="仿宋" w:eastAsia="仿宋"/>
          <w:color w:val="000000"/>
          <w:sz w:val="32"/>
          <w:szCs w:val="32"/>
          <w:lang w:val="en-US" w:eastAsia="zh-CN"/>
        </w:rPr>
        <w:t>1664.8</w:t>
      </w:r>
      <w:r>
        <w:rPr>
          <w:rFonts w:hint="eastAsia" w:ascii="仿宋" w:hAnsi="仿宋" w:eastAsia="仿宋"/>
          <w:color w:val="000000"/>
          <w:sz w:val="32"/>
          <w:szCs w:val="32"/>
        </w:rPr>
        <w:t>万元。与20</w:t>
      </w:r>
      <w:r>
        <w:rPr>
          <w:rFonts w:hint="eastAsia" w:ascii="仿宋" w:hAnsi="仿宋" w:eastAsia="仿宋"/>
          <w:color w:val="000000"/>
          <w:sz w:val="32"/>
          <w:szCs w:val="32"/>
          <w:lang w:val="en-US" w:eastAsia="zh-CN"/>
        </w:rPr>
        <w:t>20</w:t>
      </w:r>
      <w:r>
        <w:rPr>
          <w:rFonts w:hint="eastAsia" w:ascii="仿宋" w:hAnsi="仿宋" w:eastAsia="仿宋"/>
          <w:color w:val="000000"/>
          <w:sz w:val="32"/>
          <w:szCs w:val="32"/>
        </w:rPr>
        <w:t>年相比</w:t>
      </w:r>
      <w:r>
        <w:rPr>
          <w:rFonts w:hint="eastAsia" w:ascii="仿宋" w:hAnsi="仿宋" w:eastAsia="仿宋"/>
          <w:color w:val="000000"/>
          <w:sz w:val="32"/>
          <w:szCs w:val="32"/>
          <w:lang w:val="en-US" w:eastAsia="zh-CN"/>
        </w:rPr>
        <w:t>1390.1</w:t>
      </w:r>
      <w:r>
        <w:rPr>
          <w:rFonts w:hint="eastAsia" w:ascii="仿宋" w:hAnsi="仿宋" w:eastAsia="仿宋"/>
          <w:color w:val="000000"/>
          <w:sz w:val="32"/>
          <w:szCs w:val="32"/>
        </w:rPr>
        <w:t>万元，收、支总计各</w:t>
      </w:r>
      <w:r>
        <w:rPr>
          <w:rFonts w:hint="eastAsia" w:ascii="仿宋" w:hAnsi="仿宋" w:eastAsia="仿宋"/>
          <w:color w:val="000000"/>
          <w:sz w:val="32"/>
          <w:szCs w:val="32"/>
          <w:lang w:val="en-US" w:eastAsia="zh-CN"/>
        </w:rPr>
        <w:t>增加274.7</w:t>
      </w:r>
      <w:r>
        <w:rPr>
          <w:rFonts w:hint="eastAsia" w:ascii="仿宋" w:hAnsi="仿宋" w:eastAsia="仿宋"/>
          <w:color w:val="000000"/>
          <w:sz w:val="32"/>
          <w:szCs w:val="32"/>
        </w:rPr>
        <w:t>万元，</w:t>
      </w:r>
      <w:r>
        <w:rPr>
          <w:rFonts w:hint="eastAsia" w:ascii="仿宋" w:hAnsi="仿宋" w:eastAsia="仿宋"/>
          <w:color w:val="000000"/>
          <w:sz w:val="32"/>
          <w:szCs w:val="32"/>
          <w:lang w:val="en-US" w:eastAsia="zh-CN"/>
        </w:rPr>
        <w:t>增加19.7</w:t>
      </w:r>
      <w:r>
        <w:rPr>
          <w:rFonts w:ascii="仿宋" w:hAnsi="仿宋" w:eastAsia="仿宋"/>
          <w:color w:val="000000"/>
          <w:sz w:val="32"/>
          <w:szCs w:val="32"/>
        </w:rPr>
        <w:t>%</w:t>
      </w:r>
      <w:r>
        <w:rPr>
          <w:rFonts w:hint="eastAsia" w:ascii="仿宋" w:hAnsi="仿宋" w:eastAsia="仿宋"/>
          <w:color w:val="000000"/>
          <w:sz w:val="32"/>
          <w:szCs w:val="32"/>
        </w:rPr>
        <w:t>。主要变动原因</w:t>
      </w:r>
      <w:r>
        <w:rPr>
          <w:rFonts w:hint="eastAsia" w:ascii="仿宋" w:hAnsi="仿宋" w:eastAsia="仿宋"/>
          <w:color w:val="000000"/>
          <w:sz w:val="32"/>
          <w:szCs w:val="32"/>
          <w:lang w:eastAsia="zh-CN"/>
        </w:rPr>
        <w:t>：</w:t>
      </w:r>
      <w:r>
        <w:rPr>
          <w:rFonts w:hint="eastAsia" w:ascii="仿宋" w:hAnsi="仿宋" w:eastAsia="仿宋"/>
          <w:color w:val="000000"/>
          <w:sz w:val="32"/>
          <w:szCs w:val="32"/>
          <w:highlight w:val="none"/>
          <w:lang w:eastAsia="zh-CN"/>
        </w:rPr>
        <w:t>一</w:t>
      </w:r>
      <w:r>
        <w:rPr>
          <w:rFonts w:hint="eastAsia" w:ascii="仿宋" w:hAnsi="仿宋" w:eastAsia="仿宋"/>
          <w:color w:val="000000"/>
          <w:sz w:val="32"/>
          <w:szCs w:val="32"/>
          <w:highlight w:val="none"/>
        </w:rPr>
        <w:t>是</w:t>
      </w:r>
      <w:r>
        <w:rPr>
          <w:rFonts w:hint="eastAsia" w:ascii="仿宋" w:hAnsi="仿宋" w:eastAsia="仿宋"/>
          <w:color w:val="000000"/>
          <w:sz w:val="32"/>
          <w:szCs w:val="32"/>
          <w:highlight w:val="none"/>
          <w:lang w:val="en-US" w:eastAsia="zh-CN"/>
        </w:rPr>
        <w:t>人员支出增加导致人员经费增加,</w:t>
      </w:r>
      <w:r>
        <w:rPr>
          <w:rFonts w:hint="eastAsia" w:ascii="仿宋" w:hAnsi="仿宋" w:eastAsia="仿宋"/>
          <w:color w:val="000000"/>
          <w:sz w:val="32"/>
          <w:szCs w:val="32"/>
          <w:lang w:val="en-US" w:eastAsia="zh-CN"/>
        </w:rPr>
        <w:t>二是办理大要案件项目经费增加。</w:t>
      </w:r>
    </w:p>
    <w:p>
      <w:pPr>
        <w:spacing w:line="240" w:lineRule="auto"/>
        <w:rPr>
          <w:rFonts w:hint="eastAsia" w:ascii="仿宋" w:hAnsi="仿宋" w:eastAsia="仿宋"/>
          <w:color w:val="000000"/>
          <w:sz w:val="32"/>
          <w:szCs w:val="32"/>
          <w:lang w:eastAsia="zh-CN"/>
        </w:rPr>
      </w:pPr>
      <w:r>
        <w:rPr>
          <w:rFonts w:hint="eastAsia" w:ascii="仿宋" w:hAnsi="仿宋" w:eastAsia="仿宋"/>
          <w:color w:val="000000"/>
          <w:sz w:val="32"/>
          <w:szCs w:val="32"/>
          <w:lang w:eastAsia="zh-CN"/>
        </w:rPr>
        <w:drawing>
          <wp:inline distT="0" distB="0" distL="114300" distR="114300">
            <wp:extent cx="4115435" cy="2705735"/>
            <wp:effectExtent l="4445" t="4445" r="7620" b="762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spacing w:line="600" w:lineRule="exact"/>
        <w:ind w:firstLine="560" w:firstLineChars="200"/>
        <w:rPr>
          <w:rFonts w:ascii="仿宋_GB2312" w:eastAsia="仿宋_GB2312"/>
          <w:color w:val="000000"/>
          <w:sz w:val="28"/>
          <w:szCs w:val="28"/>
        </w:rPr>
      </w:pPr>
      <w:r>
        <w:rPr>
          <w:rFonts w:hint="eastAsia" w:ascii="仿宋" w:hAnsi="仿宋" w:eastAsia="仿宋"/>
          <w:color w:val="000000" w:themeColor="text1"/>
          <w:sz w:val="28"/>
          <w:szCs w:val="28"/>
          <w14:textFill>
            <w14:solidFill>
              <w14:schemeClr w14:val="tx1"/>
            </w14:solidFill>
          </w14:textFill>
        </w:rPr>
        <w:t>（图</w:t>
      </w:r>
      <w:r>
        <w:rPr>
          <w:rFonts w:ascii="仿宋" w:hAnsi="仿宋" w:eastAsia="仿宋"/>
          <w:color w:val="000000" w:themeColor="text1"/>
          <w:sz w:val="28"/>
          <w:szCs w:val="28"/>
          <w14:textFill>
            <w14:solidFill>
              <w14:schemeClr w14:val="tx1"/>
            </w14:solidFill>
          </w14:textFill>
        </w:rPr>
        <w:t>1</w:t>
      </w:r>
      <w:r>
        <w:rPr>
          <w:rFonts w:hint="eastAsia" w:ascii="仿宋" w:hAnsi="仿宋" w:eastAsia="仿宋"/>
          <w:color w:val="000000" w:themeColor="text1"/>
          <w:sz w:val="28"/>
          <w:szCs w:val="28"/>
          <w14:textFill>
            <w14:solidFill>
              <w14:schemeClr w14:val="tx1"/>
            </w14:solidFill>
          </w14:textFill>
        </w:rPr>
        <w:t>：收、支决算总计变动情况图）（柱状图）</w:t>
      </w:r>
    </w:p>
    <w:p>
      <w:pPr>
        <w:pStyle w:val="24"/>
        <w:numPr>
          <w:ilvl w:val="0"/>
          <w:numId w:val="1"/>
        </w:numPr>
        <w:spacing w:line="600" w:lineRule="exact"/>
        <w:ind w:firstLineChars="0"/>
        <w:outlineLvl w:val="1"/>
        <w:rPr>
          <w:rStyle w:val="26"/>
          <w:rFonts w:ascii="黑体" w:hAnsi="黑体" w:eastAsia="黑体"/>
          <w:b w:val="0"/>
        </w:rPr>
      </w:pPr>
      <w:bookmarkStart w:id="14" w:name="_Toc15377206"/>
      <w:bookmarkStart w:id="15" w:name="_Toc15396604"/>
      <w:r>
        <w:rPr>
          <w:rFonts w:hint="eastAsia" w:ascii="黑体" w:hAnsi="黑体" w:eastAsia="黑体"/>
          <w:color w:val="000000"/>
          <w:sz w:val="32"/>
          <w:szCs w:val="32"/>
        </w:rPr>
        <w:t>收</w:t>
      </w:r>
      <w:r>
        <w:rPr>
          <w:rStyle w:val="26"/>
          <w:rFonts w:hint="eastAsia" w:ascii="黑体" w:hAnsi="黑体" w:eastAsia="黑体"/>
          <w:b w:val="0"/>
        </w:rPr>
        <w:t>入决算情况说明</w:t>
      </w:r>
      <w:bookmarkEnd w:id="14"/>
      <w:bookmarkEnd w:id="15"/>
    </w:p>
    <w:p>
      <w:pPr>
        <w:spacing w:line="600" w:lineRule="exact"/>
        <w:ind w:firstLine="640" w:firstLineChars="200"/>
        <w:outlineLvl w:val="1"/>
        <w:rPr>
          <w:rFonts w:hint="eastAsia" w:ascii="仿宋" w:hAnsi="仿宋" w:eastAsia="仿宋"/>
          <w:color w:val="000000"/>
          <w:sz w:val="32"/>
          <w:szCs w:val="32"/>
        </w:rPr>
      </w:pPr>
      <w:r>
        <w:rPr>
          <w:rFonts w:ascii="仿宋" w:hAnsi="仿宋" w:eastAsia="仿宋"/>
          <w:color w:val="000000"/>
          <w:sz w:val="32"/>
          <w:szCs w:val="32"/>
        </w:rPr>
        <w:t>202</w:t>
      </w:r>
      <w:r>
        <w:rPr>
          <w:rFonts w:hint="eastAsia" w:ascii="仿宋" w:hAnsi="仿宋" w:eastAsia="仿宋"/>
          <w:color w:val="000000"/>
          <w:sz w:val="32"/>
          <w:szCs w:val="32"/>
          <w:lang w:val="en-US" w:eastAsia="zh-CN"/>
        </w:rPr>
        <w:t>1</w:t>
      </w:r>
      <w:r>
        <w:rPr>
          <w:rFonts w:hint="eastAsia" w:ascii="仿宋" w:hAnsi="仿宋" w:eastAsia="仿宋"/>
          <w:color w:val="000000"/>
          <w:sz w:val="32"/>
          <w:szCs w:val="32"/>
        </w:rPr>
        <w:t>年本年收入合计</w:t>
      </w:r>
      <w:r>
        <w:rPr>
          <w:rFonts w:hint="eastAsia" w:ascii="仿宋" w:hAnsi="仿宋" w:eastAsia="仿宋"/>
          <w:color w:val="000000"/>
          <w:sz w:val="32"/>
          <w:szCs w:val="32"/>
          <w:lang w:val="en-US" w:eastAsia="zh-CN"/>
        </w:rPr>
        <w:t>1664.8</w:t>
      </w:r>
      <w:r>
        <w:rPr>
          <w:rFonts w:hint="eastAsia" w:ascii="仿宋" w:hAnsi="仿宋" w:eastAsia="仿宋"/>
          <w:color w:val="000000"/>
          <w:sz w:val="32"/>
          <w:szCs w:val="32"/>
        </w:rPr>
        <w:t>万元，其中：一般公共预算财政拨款收入</w:t>
      </w:r>
      <w:r>
        <w:rPr>
          <w:rFonts w:hint="eastAsia" w:ascii="仿宋" w:hAnsi="仿宋" w:eastAsia="仿宋"/>
          <w:color w:val="000000"/>
          <w:sz w:val="32"/>
          <w:szCs w:val="32"/>
          <w:lang w:val="en-US" w:eastAsia="zh-CN"/>
        </w:rPr>
        <w:t>1664.8</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rPr>
        <w:t>；政府性基金预算财政拨款收入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；上级补助收入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；事业收入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；其他收入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w:t>
      </w:r>
    </w:p>
    <w:p>
      <w:pPr>
        <w:pStyle w:val="2"/>
        <w:rPr>
          <w:rFonts w:ascii="仿宋_GB2312" w:eastAsia="仿宋_GB2312"/>
          <w:color w:val="FF0000"/>
          <w:sz w:val="32"/>
          <w:szCs w:val="32"/>
        </w:rPr>
      </w:pPr>
      <w:r>
        <w:rPr>
          <w:rFonts w:hint="eastAsia" w:ascii="仿宋" w:hAnsi="仿宋" w:eastAsia="仿宋"/>
          <w:color w:val="000000"/>
          <w:sz w:val="32"/>
          <w:szCs w:val="32"/>
          <w:lang w:eastAsia="zh-CN"/>
        </w:rPr>
        <w:drawing>
          <wp:inline distT="0" distB="0" distL="114300" distR="114300">
            <wp:extent cx="5080000" cy="3251200"/>
            <wp:effectExtent l="4445" t="4445" r="20955" b="20955"/>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Pr>
          <w:rFonts w:hint="eastAsia" w:ascii="仿宋" w:hAnsi="仿宋" w:eastAsia="仿宋"/>
          <w:color w:val="000000" w:themeColor="text1"/>
          <w:sz w:val="28"/>
          <w:szCs w:val="28"/>
          <w14:textFill>
            <w14:solidFill>
              <w14:schemeClr w14:val="tx1"/>
            </w14:solidFill>
          </w14:textFill>
        </w:rPr>
        <w:t>（图2：收入决算结构图）（饼状图）</w:t>
      </w:r>
    </w:p>
    <w:p>
      <w:pPr>
        <w:pStyle w:val="24"/>
        <w:numPr>
          <w:ilvl w:val="0"/>
          <w:numId w:val="1"/>
        </w:numPr>
        <w:spacing w:line="600" w:lineRule="exact"/>
        <w:ind w:firstLineChars="0"/>
        <w:outlineLvl w:val="1"/>
        <w:rPr>
          <w:rStyle w:val="26"/>
          <w:rFonts w:ascii="黑体" w:hAnsi="黑体" w:eastAsia="黑体"/>
          <w:b w:val="0"/>
        </w:rPr>
      </w:pPr>
      <w:bookmarkStart w:id="16" w:name="_Toc15377207"/>
      <w:bookmarkStart w:id="17" w:name="_Toc15396605"/>
      <w:r>
        <w:rPr>
          <w:rFonts w:hint="eastAsia" w:ascii="黑体" w:hAnsi="黑体" w:eastAsia="黑体"/>
          <w:color w:val="000000"/>
          <w:sz w:val="32"/>
          <w:szCs w:val="32"/>
        </w:rPr>
        <w:t>支</w:t>
      </w:r>
      <w:r>
        <w:rPr>
          <w:rStyle w:val="26"/>
          <w:rFonts w:hint="eastAsia" w:ascii="黑体" w:hAnsi="黑体" w:eastAsia="黑体"/>
          <w:b w:val="0"/>
        </w:rPr>
        <w:t>出决算情况说明</w:t>
      </w:r>
      <w:bookmarkEnd w:id="16"/>
      <w:bookmarkEnd w:id="17"/>
    </w:p>
    <w:p>
      <w:pPr>
        <w:spacing w:line="600" w:lineRule="exact"/>
        <w:ind w:firstLine="640" w:firstLineChars="200"/>
        <w:outlineLvl w:val="1"/>
        <w:rPr>
          <w:rFonts w:hint="eastAsia" w:ascii="仿宋" w:hAnsi="仿宋" w:eastAsia="仿宋"/>
          <w:color w:val="000000"/>
          <w:sz w:val="32"/>
          <w:szCs w:val="32"/>
        </w:rPr>
      </w:pPr>
      <w:r>
        <w:rPr>
          <w:rFonts w:ascii="仿宋" w:hAnsi="仿宋" w:eastAsia="仿宋"/>
          <w:color w:val="000000"/>
          <w:sz w:val="32"/>
          <w:szCs w:val="32"/>
        </w:rPr>
        <w:t>202</w:t>
      </w:r>
      <w:r>
        <w:rPr>
          <w:rFonts w:hint="eastAsia" w:ascii="仿宋" w:hAnsi="仿宋" w:eastAsia="仿宋"/>
          <w:color w:val="000000"/>
          <w:sz w:val="32"/>
          <w:szCs w:val="32"/>
          <w:lang w:val="en-US" w:eastAsia="zh-CN"/>
        </w:rPr>
        <w:t>1</w:t>
      </w:r>
      <w:r>
        <w:rPr>
          <w:rFonts w:hint="eastAsia" w:ascii="仿宋" w:hAnsi="仿宋" w:eastAsia="仿宋"/>
          <w:color w:val="000000"/>
          <w:sz w:val="32"/>
          <w:szCs w:val="32"/>
        </w:rPr>
        <w:t>年本年支出合计</w:t>
      </w:r>
      <w:r>
        <w:rPr>
          <w:rFonts w:hint="eastAsia" w:ascii="仿宋" w:hAnsi="仿宋" w:eastAsia="仿宋"/>
          <w:color w:val="000000"/>
          <w:sz w:val="32"/>
          <w:szCs w:val="32"/>
          <w:lang w:val="en-US" w:eastAsia="zh-CN"/>
        </w:rPr>
        <w:t>1664.8</w:t>
      </w:r>
      <w:r>
        <w:rPr>
          <w:rFonts w:hint="eastAsia" w:ascii="仿宋" w:hAnsi="仿宋" w:eastAsia="仿宋"/>
          <w:color w:val="000000"/>
          <w:sz w:val="32"/>
          <w:szCs w:val="32"/>
        </w:rPr>
        <w:t>万元，其中：基本支出</w:t>
      </w:r>
      <w:r>
        <w:rPr>
          <w:rFonts w:hint="eastAsia" w:ascii="仿宋" w:hAnsi="仿宋" w:eastAsia="仿宋"/>
          <w:color w:val="000000"/>
          <w:sz w:val="32"/>
          <w:szCs w:val="32"/>
          <w:lang w:val="en-US" w:eastAsia="zh-CN"/>
        </w:rPr>
        <w:t>1376.4</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82.6</w:t>
      </w:r>
      <w:r>
        <w:rPr>
          <w:rFonts w:ascii="仿宋" w:hAnsi="仿宋" w:eastAsia="仿宋"/>
          <w:color w:val="000000"/>
          <w:sz w:val="32"/>
          <w:szCs w:val="32"/>
        </w:rPr>
        <w:t>%</w:t>
      </w:r>
      <w:r>
        <w:rPr>
          <w:rFonts w:hint="eastAsia" w:ascii="仿宋" w:hAnsi="仿宋" w:eastAsia="仿宋"/>
          <w:color w:val="000000"/>
          <w:sz w:val="32"/>
          <w:szCs w:val="32"/>
        </w:rPr>
        <w:t>；项目支出</w:t>
      </w:r>
      <w:r>
        <w:rPr>
          <w:rFonts w:hint="eastAsia" w:ascii="仿宋" w:hAnsi="仿宋" w:eastAsia="仿宋"/>
          <w:color w:val="000000"/>
          <w:sz w:val="32"/>
          <w:szCs w:val="32"/>
          <w:lang w:val="en-US" w:eastAsia="zh-CN"/>
        </w:rPr>
        <w:t>288.4</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17.4</w:t>
      </w:r>
      <w:r>
        <w:rPr>
          <w:rFonts w:ascii="仿宋" w:hAnsi="仿宋" w:eastAsia="仿宋"/>
          <w:color w:val="000000"/>
          <w:sz w:val="32"/>
          <w:szCs w:val="32"/>
        </w:rPr>
        <w:t>%</w:t>
      </w:r>
      <w:r>
        <w:rPr>
          <w:rFonts w:hint="eastAsia" w:ascii="仿宋" w:hAnsi="仿宋" w:eastAsia="仿宋"/>
          <w:color w:val="000000"/>
          <w:sz w:val="32"/>
          <w:szCs w:val="32"/>
        </w:rPr>
        <w:t>；上缴上级支出</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；经营支出</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；对附属单位补助支出</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w:t>
      </w:r>
    </w:p>
    <w:p>
      <w:pPr>
        <w:pStyle w:val="2"/>
        <w:rPr>
          <w:rFonts w:hint="eastAsia" w:ascii="仿宋" w:hAnsi="仿宋" w:eastAsia="仿宋"/>
          <w:color w:val="000000"/>
          <w:sz w:val="32"/>
          <w:szCs w:val="32"/>
        </w:rPr>
      </w:pPr>
      <w:r>
        <w:rPr>
          <w:rFonts w:hint="eastAsia" w:ascii="仿宋" w:hAnsi="仿宋" w:eastAsia="仿宋"/>
          <w:color w:val="000000"/>
          <w:sz w:val="32"/>
          <w:szCs w:val="32"/>
          <w:lang w:eastAsia="zh-CN"/>
        </w:rPr>
        <w:drawing>
          <wp:inline distT="0" distB="0" distL="114300" distR="114300">
            <wp:extent cx="5080000" cy="3157220"/>
            <wp:effectExtent l="4445" t="4445" r="20955" b="19685"/>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spacing w:line="600" w:lineRule="exact"/>
        <w:rPr>
          <w:rFonts w:ascii="仿宋_GB2312" w:eastAsia="仿宋_GB2312"/>
          <w:color w:val="FF0000"/>
          <w:sz w:val="28"/>
          <w:szCs w:val="28"/>
        </w:rPr>
      </w:pPr>
      <w:r>
        <w:rPr>
          <w:rFonts w:hint="eastAsia" w:ascii="仿宋" w:hAnsi="仿宋" w:eastAsia="仿宋"/>
          <w:color w:val="000000" w:themeColor="text1"/>
          <w:sz w:val="28"/>
          <w:szCs w:val="28"/>
          <w14:textFill>
            <w14:solidFill>
              <w14:schemeClr w14:val="tx1"/>
            </w14:solidFill>
          </w14:textFill>
        </w:rPr>
        <w:t>（图3：支出决算结构图）（饼状图）</w:t>
      </w:r>
    </w:p>
    <w:p>
      <w:pPr>
        <w:spacing w:line="600" w:lineRule="exact"/>
        <w:ind w:firstLine="640" w:firstLineChars="200"/>
        <w:outlineLvl w:val="1"/>
        <w:rPr>
          <w:rStyle w:val="26"/>
          <w:rFonts w:ascii="黑体" w:hAnsi="黑体" w:eastAsia="黑体"/>
          <w:b w:val="0"/>
        </w:rPr>
      </w:pPr>
      <w:bookmarkStart w:id="18" w:name="_Toc15396606"/>
      <w:bookmarkStart w:id="19" w:name="_Toc15377208"/>
      <w:r>
        <w:rPr>
          <w:rFonts w:hint="eastAsia" w:ascii="黑体" w:hAnsi="黑体" w:eastAsia="黑体"/>
          <w:color w:val="000000"/>
          <w:sz w:val="32"/>
          <w:szCs w:val="32"/>
        </w:rPr>
        <w:t>四、财</w:t>
      </w:r>
      <w:r>
        <w:rPr>
          <w:rStyle w:val="26"/>
          <w:rFonts w:hint="eastAsia" w:ascii="黑体" w:hAnsi="黑体" w:eastAsia="黑体"/>
          <w:b w:val="0"/>
        </w:rPr>
        <w:t>政拨款收入支出决算总体情况说明</w:t>
      </w:r>
      <w:bookmarkEnd w:id="18"/>
      <w:bookmarkEnd w:id="19"/>
    </w:p>
    <w:p>
      <w:pPr>
        <w:spacing w:line="240" w:lineRule="auto"/>
        <w:ind w:firstLine="640" w:firstLineChars="200"/>
        <w:jc w:val="left"/>
        <w:rPr>
          <w:rFonts w:hint="eastAsia" w:ascii="仿宋" w:hAnsi="仿宋" w:eastAsia="仿宋"/>
          <w:color w:val="000000"/>
          <w:sz w:val="32"/>
          <w:szCs w:val="32"/>
          <w:lang w:eastAsia="zh-CN"/>
        </w:rPr>
      </w:pPr>
      <w:r>
        <w:rPr>
          <w:rFonts w:ascii="仿宋" w:hAnsi="仿宋" w:eastAsia="仿宋"/>
          <w:color w:val="000000"/>
          <w:sz w:val="32"/>
          <w:szCs w:val="32"/>
        </w:rPr>
        <w:t>202</w:t>
      </w:r>
      <w:r>
        <w:rPr>
          <w:rFonts w:hint="eastAsia" w:ascii="仿宋" w:hAnsi="仿宋" w:eastAsia="仿宋"/>
          <w:color w:val="000000"/>
          <w:sz w:val="32"/>
          <w:szCs w:val="32"/>
          <w:lang w:val="en-US" w:eastAsia="zh-CN"/>
        </w:rPr>
        <w:t>1</w:t>
      </w:r>
      <w:r>
        <w:rPr>
          <w:rFonts w:hint="eastAsia" w:ascii="仿宋" w:hAnsi="仿宋" w:eastAsia="仿宋"/>
          <w:color w:val="000000"/>
          <w:sz w:val="32"/>
          <w:szCs w:val="32"/>
        </w:rPr>
        <w:t>年财政拨款收、支总计</w:t>
      </w:r>
      <w:r>
        <w:rPr>
          <w:rFonts w:hint="eastAsia" w:ascii="仿宋" w:hAnsi="仿宋" w:eastAsia="仿宋"/>
          <w:color w:val="000000"/>
          <w:sz w:val="32"/>
          <w:szCs w:val="32"/>
          <w:lang w:val="en-US" w:eastAsia="zh-CN"/>
        </w:rPr>
        <w:t>1664.8</w:t>
      </w:r>
      <w:r>
        <w:rPr>
          <w:rFonts w:hint="eastAsia" w:ascii="仿宋" w:hAnsi="仿宋" w:eastAsia="仿宋"/>
          <w:color w:val="000000"/>
          <w:sz w:val="32"/>
          <w:szCs w:val="32"/>
        </w:rPr>
        <w:t>万元。与</w:t>
      </w:r>
      <w:r>
        <w:rPr>
          <w:rFonts w:ascii="仿宋" w:hAnsi="仿宋" w:eastAsia="仿宋"/>
          <w:color w:val="000000"/>
          <w:sz w:val="32"/>
          <w:szCs w:val="32"/>
        </w:rPr>
        <w:t>20</w:t>
      </w:r>
      <w:r>
        <w:rPr>
          <w:rFonts w:hint="eastAsia" w:ascii="仿宋" w:hAnsi="仿宋" w:eastAsia="仿宋"/>
          <w:color w:val="000000"/>
          <w:sz w:val="32"/>
          <w:szCs w:val="32"/>
          <w:lang w:val="en-US" w:eastAsia="zh-CN"/>
        </w:rPr>
        <w:t>20</w:t>
      </w:r>
      <w:r>
        <w:rPr>
          <w:rFonts w:hint="eastAsia" w:ascii="仿宋" w:hAnsi="仿宋" w:eastAsia="仿宋"/>
          <w:color w:val="000000"/>
          <w:sz w:val="32"/>
          <w:szCs w:val="32"/>
        </w:rPr>
        <w:t>年相比，财政拨款收、支总计各</w:t>
      </w:r>
      <w:r>
        <w:rPr>
          <w:rFonts w:hint="eastAsia" w:ascii="仿宋" w:hAnsi="仿宋" w:eastAsia="仿宋"/>
          <w:color w:val="000000"/>
          <w:sz w:val="32"/>
          <w:szCs w:val="32"/>
          <w:lang w:val="en-US" w:eastAsia="zh-CN"/>
        </w:rPr>
        <w:t>增加274.7</w:t>
      </w:r>
      <w:r>
        <w:rPr>
          <w:rFonts w:hint="eastAsia" w:ascii="仿宋" w:hAnsi="仿宋" w:eastAsia="仿宋"/>
          <w:color w:val="000000"/>
          <w:sz w:val="32"/>
          <w:szCs w:val="32"/>
        </w:rPr>
        <w:t>万元，</w:t>
      </w:r>
      <w:r>
        <w:rPr>
          <w:rFonts w:hint="eastAsia" w:ascii="仿宋" w:hAnsi="仿宋" w:eastAsia="仿宋"/>
          <w:color w:val="000000"/>
          <w:sz w:val="32"/>
          <w:szCs w:val="32"/>
          <w:lang w:val="en-US" w:eastAsia="zh-CN"/>
        </w:rPr>
        <w:t>增加19.7</w:t>
      </w:r>
      <w:r>
        <w:rPr>
          <w:rFonts w:ascii="仿宋" w:hAnsi="仿宋" w:eastAsia="仿宋"/>
          <w:color w:val="000000"/>
          <w:sz w:val="32"/>
          <w:szCs w:val="32"/>
        </w:rPr>
        <w:t>%</w:t>
      </w:r>
      <w:r>
        <w:rPr>
          <w:rFonts w:hint="eastAsia" w:ascii="仿宋" w:hAnsi="仿宋" w:eastAsia="仿宋"/>
          <w:color w:val="000000"/>
          <w:sz w:val="32"/>
          <w:szCs w:val="32"/>
        </w:rPr>
        <w:t>。主要变动原因</w:t>
      </w:r>
      <w:r>
        <w:rPr>
          <w:rFonts w:hint="eastAsia" w:ascii="仿宋" w:hAnsi="仿宋" w:eastAsia="仿宋"/>
          <w:color w:val="000000"/>
          <w:sz w:val="32"/>
          <w:szCs w:val="32"/>
          <w:lang w:eastAsia="zh-CN"/>
        </w:rPr>
        <w:t>：</w:t>
      </w:r>
      <w:r>
        <w:rPr>
          <w:rFonts w:hint="eastAsia" w:ascii="仿宋" w:hAnsi="仿宋" w:eastAsia="仿宋"/>
          <w:color w:val="000000"/>
          <w:sz w:val="32"/>
          <w:szCs w:val="32"/>
          <w:highlight w:val="none"/>
          <w:lang w:eastAsia="zh-CN"/>
        </w:rPr>
        <w:t>一</w:t>
      </w:r>
      <w:r>
        <w:rPr>
          <w:rFonts w:hint="eastAsia" w:ascii="仿宋" w:hAnsi="仿宋" w:eastAsia="仿宋"/>
          <w:color w:val="000000"/>
          <w:sz w:val="32"/>
          <w:szCs w:val="32"/>
          <w:highlight w:val="none"/>
        </w:rPr>
        <w:t>是</w:t>
      </w:r>
      <w:r>
        <w:rPr>
          <w:rFonts w:hint="eastAsia" w:ascii="仿宋" w:hAnsi="仿宋" w:eastAsia="仿宋"/>
          <w:color w:val="000000"/>
          <w:sz w:val="32"/>
          <w:szCs w:val="32"/>
          <w:highlight w:val="none"/>
          <w:lang w:val="en-US" w:eastAsia="zh-CN"/>
        </w:rPr>
        <w:t>人员支出增加导致人员经费增加,</w:t>
      </w:r>
      <w:r>
        <w:rPr>
          <w:rFonts w:hint="eastAsia" w:ascii="仿宋" w:hAnsi="仿宋" w:eastAsia="仿宋"/>
          <w:color w:val="000000"/>
          <w:sz w:val="32"/>
          <w:szCs w:val="32"/>
          <w:lang w:val="en-US" w:eastAsia="zh-CN"/>
        </w:rPr>
        <w:t>二是办理大要案件项目经费增加。</w:t>
      </w:r>
    </w:p>
    <w:p>
      <w:pPr>
        <w:spacing w:line="240" w:lineRule="auto"/>
        <w:rPr>
          <w:rFonts w:hint="eastAsia" w:ascii="仿宋" w:hAnsi="仿宋" w:eastAsia="仿宋"/>
          <w:color w:val="000000"/>
          <w:sz w:val="32"/>
          <w:szCs w:val="32"/>
          <w:lang w:eastAsia="zh-CN"/>
        </w:rPr>
      </w:pPr>
    </w:p>
    <w:p>
      <w:pPr>
        <w:spacing w:line="240" w:lineRule="auto"/>
        <w:ind w:firstLine="640" w:firstLineChars="200"/>
        <w:rPr>
          <w:rFonts w:hint="eastAsia" w:ascii="仿宋" w:hAnsi="仿宋" w:eastAsia="仿宋"/>
          <w:color w:val="000000"/>
          <w:sz w:val="32"/>
          <w:szCs w:val="32"/>
          <w:lang w:eastAsia="zh-CN"/>
        </w:rPr>
      </w:pPr>
      <w:r>
        <w:rPr>
          <w:rFonts w:hint="eastAsia" w:ascii="仿宋" w:hAnsi="仿宋" w:eastAsia="仿宋"/>
          <w:color w:val="000000"/>
          <w:sz w:val="32"/>
          <w:szCs w:val="32"/>
          <w:lang w:eastAsia="zh-CN"/>
        </w:rPr>
        <w:drawing>
          <wp:inline distT="0" distB="0" distL="114300" distR="114300">
            <wp:extent cx="5080000" cy="3054350"/>
            <wp:effectExtent l="4445" t="4445" r="8255" b="14605"/>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line="60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（图4：财政拨款收、支决算总计变动情况）（柱状图）</w:t>
      </w:r>
    </w:p>
    <w:p>
      <w:pPr>
        <w:spacing w:line="600" w:lineRule="exact"/>
        <w:ind w:firstLine="640" w:firstLineChars="200"/>
        <w:outlineLvl w:val="1"/>
        <w:rPr>
          <w:rStyle w:val="26"/>
          <w:rFonts w:ascii="黑体" w:hAnsi="黑体" w:eastAsia="黑体"/>
          <w:b w:val="0"/>
        </w:rPr>
      </w:pPr>
      <w:bookmarkStart w:id="20" w:name="_Toc15396607"/>
      <w:bookmarkStart w:id="21" w:name="_Toc15377209"/>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26"/>
          <w:rFonts w:hint="eastAsia" w:ascii="黑体" w:hAnsi="黑体" w:eastAsia="黑体"/>
          <w:b w:val="0"/>
        </w:rPr>
        <w:t>般公共预算财政拨款支出决算情况说明</w:t>
      </w:r>
      <w:bookmarkEnd w:id="20"/>
      <w:bookmarkEnd w:id="21"/>
    </w:p>
    <w:p>
      <w:pPr>
        <w:spacing w:line="600" w:lineRule="exact"/>
        <w:ind w:firstLine="640" w:firstLineChars="200"/>
        <w:outlineLvl w:val="2"/>
        <w:rPr>
          <w:rFonts w:ascii="仿宋" w:hAnsi="仿宋" w:eastAsia="仿宋"/>
          <w:b/>
          <w:color w:val="000000"/>
          <w:sz w:val="32"/>
          <w:szCs w:val="32"/>
        </w:rPr>
      </w:pPr>
      <w:bookmarkStart w:id="22" w:name="_Toc15377210"/>
      <w:r>
        <w:rPr>
          <w:rFonts w:hint="eastAsia" w:ascii="仿宋" w:hAnsi="仿宋" w:eastAsia="仿宋"/>
          <w:b/>
          <w:color w:val="000000"/>
          <w:sz w:val="32"/>
          <w:szCs w:val="32"/>
        </w:rPr>
        <w:t>（一）一般公共预算财政拨款支出决算总体情况</w:t>
      </w:r>
      <w:bookmarkEnd w:id="22"/>
    </w:p>
    <w:p>
      <w:pPr>
        <w:spacing w:line="240" w:lineRule="auto"/>
        <w:ind w:firstLine="640" w:firstLineChars="200"/>
        <w:jc w:val="left"/>
        <w:rPr>
          <w:rFonts w:hint="eastAsia" w:ascii="仿宋" w:hAnsi="仿宋" w:eastAsia="仿宋"/>
          <w:color w:val="000000"/>
          <w:sz w:val="32"/>
          <w:szCs w:val="32"/>
        </w:rPr>
      </w:pPr>
      <w:r>
        <w:rPr>
          <w:rFonts w:ascii="仿宋" w:hAnsi="仿宋" w:eastAsia="仿宋"/>
          <w:color w:val="000000"/>
          <w:sz w:val="32"/>
          <w:szCs w:val="32"/>
        </w:rPr>
        <w:t>202</w:t>
      </w:r>
      <w:r>
        <w:rPr>
          <w:rFonts w:hint="eastAsia" w:ascii="仿宋" w:hAnsi="仿宋" w:eastAsia="仿宋"/>
          <w:color w:val="000000"/>
          <w:sz w:val="32"/>
          <w:szCs w:val="32"/>
          <w:lang w:val="en-US" w:eastAsia="zh-CN"/>
        </w:rPr>
        <w:t>1</w:t>
      </w:r>
      <w:r>
        <w:rPr>
          <w:rFonts w:hint="eastAsia" w:ascii="仿宋" w:hAnsi="仿宋" w:eastAsia="仿宋"/>
          <w:color w:val="000000"/>
          <w:sz w:val="32"/>
          <w:szCs w:val="32"/>
        </w:rPr>
        <w:t>年一般公共预算财政拨款支出</w:t>
      </w:r>
      <w:r>
        <w:rPr>
          <w:rFonts w:hint="eastAsia" w:ascii="仿宋" w:hAnsi="仿宋" w:eastAsia="仿宋"/>
          <w:color w:val="000000"/>
          <w:sz w:val="32"/>
          <w:szCs w:val="32"/>
          <w:lang w:val="en-US" w:eastAsia="zh-CN"/>
        </w:rPr>
        <w:t>1664.8</w:t>
      </w:r>
      <w:r>
        <w:rPr>
          <w:rFonts w:hint="eastAsia" w:ascii="仿宋" w:hAnsi="仿宋" w:eastAsia="仿宋"/>
          <w:color w:val="000000"/>
          <w:sz w:val="32"/>
          <w:szCs w:val="32"/>
        </w:rPr>
        <w:t>万元，占本年支出合计的</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rPr>
        <w:t>。与</w:t>
      </w:r>
      <w:r>
        <w:rPr>
          <w:rFonts w:ascii="仿宋" w:hAnsi="仿宋" w:eastAsia="仿宋"/>
          <w:color w:val="000000"/>
          <w:sz w:val="32"/>
          <w:szCs w:val="32"/>
        </w:rPr>
        <w:t>20</w:t>
      </w:r>
      <w:r>
        <w:rPr>
          <w:rFonts w:hint="eastAsia" w:ascii="仿宋" w:hAnsi="仿宋" w:eastAsia="仿宋"/>
          <w:color w:val="000000"/>
          <w:sz w:val="32"/>
          <w:szCs w:val="32"/>
          <w:lang w:val="en-US" w:eastAsia="zh-CN"/>
        </w:rPr>
        <w:t>20</w:t>
      </w:r>
      <w:r>
        <w:rPr>
          <w:rFonts w:hint="eastAsia" w:ascii="仿宋" w:hAnsi="仿宋" w:eastAsia="仿宋"/>
          <w:color w:val="000000"/>
          <w:sz w:val="32"/>
          <w:szCs w:val="32"/>
        </w:rPr>
        <w:t>年相比，一般公共预算财政拨款</w:t>
      </w:r>
      <w:r>
        <w:rPr>
          <w:rFonts w:hint="eastAsia" w:ascii="仿宋" w:hAnsi="仿宋" w:eastAsia="仿宋"/>
          <w:color w:val="000000"/>
          <w:sz w:val="32"/>
          <w:szCs w:val="32"/>
          <w:lang w:val="en-US" w:eastAsia="zh-CN"/>
        </w:rPr>
        <w:t>增加274.7</w:t>
      </w:r>
      <w:r>
        <w:rPr>
          <w:rFonts w:hint="eastAsia" w:ascii="仿宋" w:hAnsi="仿宋" w:eastAsia="仿宋"/>
          <w:color w:val="000000"/>
          <w:sz w:val="32"/>
          <w:szCs w:val="32"/>
        </w:rPr>
        <w:t>万元，</w:t>
      </w:r>
      <w:r>
        <w:rPr>
          <w:rFonts w:hint="eastAsia" w:ascii="仿宋" w:hAnsi="仿宋" w:eastAsia="仿宋"/>
          <w:color w:val="000000"/>
          <w:sz w:val="32"/>
          <w:szCs w:val="32"/>
          <w:lang w:val="en-US" w:eastAsia="zh-CN"/>
        </w:rPr>
        <w:t>增加19.7</w:t>
      </w:r>
      <w:r>
        <w:rPr>
          <w:rFonts w:ascii="仿宋" w:hAnsi="仿宋" w:eastAsia="仿宋"/>
          <w:color w:val="000000"/>
          <w:sz w:val="32"/>
          <w:szCs w:val="32"/>
        </w:rPr>
        <w:t>%</w:t>
      </w:r>
      <w:r>
        <w:rPr>
          <w:rFonts w:hint="eastAsia" w:ascii="仿宋" w:hAnsi="仿宋" w:eastAsia="仿宋"/>
          <w:color w:val="000000"/>
          <w:sz w:val="32"/>
          <w:szCs w:val="32"/>
        </w:rPr>
        <w:t>。主要变动原因</w:t>
      </w:r>
      <w:r>
        <w:rPr>
          <w:rFonts w:hint="eastAsia" w:ascii="仿宋" w:hAnsi="仿宋" w:eastAsia="仿宋"/>
          <w:color w:val="000000"/>
          <w:sz w:val="32"/>
          <w:szCs w:val="32"/>
          <w:lang w:eastAsia="zh-CN"/>
        </w:rPr>
        <w:t>：</w:t>
      </w:r>
      <w:r>
        <w:rPr>
          <w:rFonts w:hint="eastAsia" w:ascii="仿宋" w:hAnsi="仿宋" w:eastAsia="仿宋"/>
          <w:color w:val="000000"/>
          <w:sz w:val="32"/>
          <w:szCs w:val="32"/>
          <w:highlight w:val="none"/>
          <w:lang w:eastAsia="zh-CN"/>
        </w:rPr>
        <w:t>一</w:t>
      </w:r>
      <w:r>
        <w:rPr>
          <w:rFonts w:hint="eastAsia" w:ascii="仿宋" w:hAnsi="仿宋" w:eastAsia="仿宋"/>
          <w:color w:val="000000"/>
          <w:sz w:val="32"/>
          <w:szCs w:val="32"/>
          <w:highlight w:val="none"/>
        </w:rPr>
        <w:t>是</w:t>
      </w:r>
      <w:r>
        <w:rPr>
          <w:rFonts w:hint="eastAsia" w:ascii="仿宋" w:hAnsi="仿宋" w:eastAsia="仿宋"/>
          <w:color w:val="000000"/>
          <w:sz w:val="32"/>
          <w:szCs w:val="32"/>
          <w:highlight w:val="none"/>
          <w:lang w:val="en-US" w:eastAsia="zh-CN"/>
        </w:rPr>
        <w:t>人员支出增加导致人员经费增加,</w:t>
      </w:r>
      <w:r>
        <w:rPr>
          <w:rFonts w:hint="eastAsia" w:ascii="仿宋" w:hAnsi="仿宋" w:eastAsia="仿宋"/>
          <w:color w:val="000000"/>
          <w:sz w:val="32"/>
          <w:szCs w:val="32"/>
          <w:lang w:val="en-US" w:eastAsia="zh-CN"/>
        </w:rPr>
        <w:t>二是办理大要案件项目经费增加。</w:t>
      </w:r>
    </w:p>
    <w:p>
      <w:pPr>
        <w:pStyle w:val="2"/>
        <w:rPr>
          <w:rFonts w:hint="eastAsia" w:ascii="仿宋" w:hAnsi="仿宋" w:eastAsia="仿宋"/>
          <w:color w:val="000000"/>
          <w:sz w:val="32"/>
          <w:szCs w:val="32"/>
        </w:rPr>
      </w:pPr>
    </w:p>
    <w:p>
      <w:pPr>
        <w:pStyle w:val="2"/>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sz w:val="32"/>
          <w:szCs w:val="32"/>
          <w:lang w:eastAsia="zh-CN"/>
        </w:rPr>
        <w:drawing>
          <wp:inline distT="0" distB="0" distL="114300" distR="114300">
            <wp:extent cx="5080000" cy="3411855"/>
            <wp:effectExtent l="4445" t="4445" r="20955" b="12700"/>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Pr>
          <w:rFonts w:hint="eastAsia" w:ascii="仿宋" w:hAnsi="仿宋" w:eastAsia="仿宋"/>
          <w:color w:val="000000" w:themeColor="text1"/>
          <w:sz w:val="28"/>
          <w:szCs w:val="28"/>
          <w14:textFill>
            <w14:solidFill>
              <w14:schemeClr w14:val="tx1"/>
            </w14:solidFill>
          </w14:textFill>
        </w:rPr>
        <w:t>（图5：一般公共预算财政拨款支出决算变动情况）（柱状图）</w:t>
      </w:r>
    </w:p>
    <w:p>
      <w:pPr>
        <w:spacing w:line="600" w:lineRule="exact"/>
        <w:ind w:firstLine="640" w:firstLineChars="200"/>
        <w:outlineLvl w:val="2"/>
        <w:rPr>
          <w:rFonts w:ascii="仿宋" w:hAnsi="仿宋" w:eastAsia="仿宋"/>
          <w:b/>
          <w:color w:val="000000"/>
          <w:sz w:val="32"/>
          <w:szCs w:val="32"/>
        </w:rPr>
      </w:pPr>
      <w:bookmarkStart w:id="23" w:name="_Toc15377211"/>
      <w:r>
        <w:rPr>
          <w:rFonts w:hint="eastAsia" w:ascii="仿宋" w:hAnsi="仿宋" w:eastAsia="仿宋"/>
          <w:b/>
          <w:color w:val="000000"/>
          <w:sz w:val="32"/>
          <w:szCs w:val="32"/>
        </w:rPr>
        <w:t>（二）一般公共预算财政拨款支出决算结构情况</w:t>
      </w:r>
      <w:bookmarkEnd w:id="23"/>
    </w:p>
    <w:p>
      <w:pPr>
        <w:spacing w:line="600" w:lineRule="exact"/>
        <w:ind w:firstLine="640"/>
        <w:rPr>
          <w:rFonts w:hint="eastAsia" w:ascii="仿宋" w:hAnsi="仿宋" w:eastAsia="仿宋"/>
          <w:color w:val="000000"/>
          <w:sz w:val="32"/>
          <w:szCs w:val="32"/>
          <w:lang w:eastAsia="zh-CN"/>
        </w:rPr>
      </w:pPr>
      <w:r>
        <w:rPr>
          <w:rFonts w:ascii="仿宋" w:hAnsi="仿宋" w:eastAsia="仿宋"/>
          <w:color w:val="000000"/>
          <w:sz w:val="32"/>
          <w:szCs w:val="32"/>
        </w:rPr>
        <w:t>202</w:t>
      </w:r>
      <w:r>
        <w:rPr>
          <w:rFonts w:hint="eastAsia" w:ascii="仿宋" w:hAnsi="仿宋" w:eastAsia="仿宋"/>
          <w:color w:val="000000"/>
          <w:sz w:val="32"/>
          <w:szCs w:val="32"/>
          <w:lang w:val="en-US" w:eastAsia="zh-CN"/>
        </w:rPr>
        <w:t>1</w:t>
      </w:r>
      <w:r>
        <w:rPr>
          <w:rFonts w:hint="eastAsia" w:ascii="仿宋" w:hAnsi="仿宋" w:eastAsia="仿宋"/>
          <w:color w:val="000000"/>
          <w:sz w:val="32"/>
          <w:szCs w:val="32"/>
        </w:rPr>
        <w:t>年一般公共预算财政拨款支出</w:t>
      </w:r>
      <w:r>
        <w:rPr>
          <w:rFonts w:hint="eastAsia" w:ascii="仿宋" w:hAnsi="仿宋" w:eastAsia="仿宋"/>
          <w:color w:val="000000"/>
          <w:sz w:val="32"/>
          <w:szCs w:val="32"/>
          <w:lang w:val="en-US" w:eastAsia="zh-CN"/>
        </w:rPr>
        <w:t>1664.8</w:t>
      </w:r>
      <w:r>
        <w:rPr>
          <w:rFonts w:hint="eastAsia" w:ascii="仿宋" w:hAnsi="仿宋" w:eastAsia="仿宋"/>
          <w:color w:val="000000"/>
          <w:sz w:val="32"/>
          <w:szCs w:val="32"/>
        </w:rPr>
        <w:t>万元，主要用于以下方面</w:t>
      </w:r>
      <w:r>
        <w:rPr>
          <w:rFonts w:ascii="仿宋" w:hAnsi="仿宋" w:eastAsia="仿宋"/>
          <w:color w:val="000000"/>
          <w:sz w:val="32"/>
          <w:szCs w:val="32"/>
        </w:rPr>
        <w:t>:</w:t>
      </w:r>
      <w:r>
        <w:rPr>
          <w:rFonts w:hint="eastAsia" w:ascii="仿宋" w:hAnsi="仿宋" w:eastAsia="仿宋"/>
          <w:b/>
          <w:bCs/>
          <w:color w:val="000000"/>
          <w:sz w:val="32"/>
          <w:szCs w:val="32"/>
          <w:lang w:val="en-US" w:eastAsia="zh-CN"/>
        </w:rPr>
        <w:t>一般公共服务支出（类：201）</w:t>
      </w:r>
      <w:r>
        <w:rPr>
          <w:rFonts w:hint="eastAsia" w:ascii="仿宋" w:hAnsi="仿宋" w:eastAsia="仿宋"/>
          <w:color w:val="000000"/>
          <w:sz w:val="32"/>
          <w:szCs w:val="32"/>
          <w:lang w:val="en-US" w:eastAsia="zh-CN"/>
        </w:rPr>
        <w:t>10万元，</w:t>
      </w:r>
      <w:r>
        <w:rPr>
          <w:rFonts w:hint="eastAsia" w:ascii="仿宋" w:hAnsi="仿宋" w:eastAsia="仿宋"/>
          <w:color w:val="000000"/>
          <w:sz w:val="32"/>
          <w:szCs w:val="32"/>
        </w:rPr>
        <w:t>占</w:t>
      </w:r>
      <w:r>
        <w:rPr>
          <w:rFonts w:hint="eastAsia" w:ascii="仿宋" w:hAnsi="仿宋" w:eastAsia="仿宋"/>
          <w:color w:val="000000"/>
          <w:sz w:val="32"/>
          <w:szCs w:val="32"/>
          <w:lang w:val="en-US" w:eastAsia="zh-CN"/>
        </w:rPr>
        <w:t>0.6</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color w:val="000000"/>
          <w:sz w:val="32"/>
          <w:szCs w:val="32"/>
          <w:lang w:eastAsia="zh-CN"/>
        </w:rPr>
        <w:t>公共安全支出</w:t>
      </w:r>
      <w:r>
        <w:rPr>
          <w:rFonts w:hint="eastAsia" w:ascii="仿宋" w:hAnsi="仿宋" w:eastAsia="仿宋"/>
          <w:b/>
          <w:color w:val="000000"/>
          <w:sz w:val="32"/>
          <w:szCs w:val="32"/>
        </w:rPr>
        <w:t>（类</w:t>
      </w:r>
      <w:r>
        <w:rPr>
          <w:rFonts w:hint="eastAsia" w:ascii="仿宋" w:hAnsi="仿宋" w:eastAsia="仿宋"/>
          <w:b/>
          <w:color w:val="000000"/>
          <w:sz w:val="32"/>
          <w:szCs w:val="32"/>
          <w:lang w:eastAsia="zh-CN"/>
        </w:rPr>
        <w:t>：</w:t>
      </w:r>
      <w:r>
        <w:rPr>
          <w:rFonts w:hint="eastAsia" w:ascii="仿宋" w:hAnsi="仿宋" w:eastAsia="仿宋"/>
          <w:b/>
          <w:color w:val="000000"/>
          <w:sz w:val="32"/>
          <w:szCs w:val="32"/>
          <w:lang w:val="en-US" w:eastAsia="zh-CN"/>
        </w:rPr>
        <w:t>204</w:t>
      </w:r>
      <w:r>
        <w:rPr>
          <w:rFonts w:hint="eastAsia" w:ascii="仿宋" w:hAnsi="仿宋" w:eastAsia="仿宋"/>
          <w:b/>
          <w:color w:val="000000"/>
          <w:sz w:val="32"/>
          <w:szCs w:val="32"/>
        </w:rPr>
        <w:t>）</w:t>
      </w:r>
      <w:r>
        <w:rPr>
          <w:rFonts w:hint="eastAsia" w:ascii="仿宋" w:hAnsi="仿宋" w:eastAsia="仿宋"/>
          <w:color w:val="000000"/>
          <w:sz w:val="32"/>
          <w:szCs w:val="32"/>
          <w:lang w:val="en-US" w:eastAsia="zh-CN"/>
        </w:rPr>
        <w:t>1406.9</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84.5</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color w:val="000000"/>
          <w:sz w:val="32"/>
          <w:szCs w:val="32"/>
        </w:rPr>
        <w:t>社会保障和就业</w:t>
      </w:r>
      <w:r>
        <w:rPr>
          <w:rFonts w:hint="eastAsia" w:ascii="仿宋" w:hAnsi="仿宋" w:eastAsia="仿宋"/>
          <w:b/>
          <w:color w:val="000000"/>
          <w:sz w:val="32"/>
          <w:szCs w:val="32"/>
          <w:lang w:eastAsia="zh-CN"/>
        </w:rPr>
        <w:t>支出</w:t>
      </w:r>
      <w:r>
        <w:rPr>
          <w:rFonts w:hint="eastAsia" w:ascii="仿宋" w:hAnsi="仿宋" w:eastAsia="仿宋"/>
          <w:b/>
          <w:color w:val="000000"/>
          <w:sz w:val="32"/>
          <w:szCs w:val="32"/>
        </w:rPr>
        <w:t>（类</w:t>
      </w:r>
      <w:r>
        <w:rPr>
          <w:rFonts w:hint="eastAsia" w:ascii="仿宋" w:hAnsi="仿宋" w:eastAsia="仿宋"/>
          <w:b/>
          <w:color w:val="000000"/>
          <w:sz w:val="32"/>
          <w:szCs w:val="32"/>
          <w:lang w:eastAsia="zh-CN"/>
        </w:rPr>
        <w:t>：</w:t>
      </w:r>
      <w:r>
        <w:rPr>
          <w:rFonts w:hint="eastAsia" w:ascii="仿宋" w:hAnsi="仿宋" w:eastAsia="仿宋"/>
          <w:b/>
          <w:color w:val="000000"/>
          <w:sz w:val="32"/>
          <w:szCs w:val="32"/>
          <w:lang w:val="en-US" w:eastAsia="zh-CN"/>
        </w:rPr>
        <w:t>208</w:t>
      </w:r>
      <w:r>
        <w:rPr>
          <w:rFonts w:hint="eastAsia" w:ascii="仿宋" w:hAnsi="仿宋" w:eastAsia="仿宋"/>
          <w:b/>
          <w:color w:val="000000"/>
          <w:sz w:val="32"/>
          <w:szCs w:val="32"/>
        </w:rPr>
        <w:t>）</w:t>
      </w:r>
      <w:r>
        <w:rPr>
          <w:rFonts w:hint="eastAsia" w:ascii="仿宋" w:hAnsi="仿宋" w:eastAsia="仿宋"/>
          <w:color w:val="000000"/>
          <w:sz w:val="32"/>
          <w:szCs w:val="32"/>
          <w:lang w:val="en-US" w:eastAsia="zh-CN"/>
        </w:rPr>
        <w:t>124.9</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7.5</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bCs/>
          <w:color w:val="000000"/>
          <w:sz w:val="32"/>
          <w:szCs w:val="32"/>
        </w:rPr>
        <w:t>卫生健康支出</w:t>
      </w:r>
      <w:r>
        <w:rPr>
          <w:rFonts w:hint="eastAsia" w:ascii="仿宋" w:hAnsi="仿宋" w:eastAsia="仿宋"/>
          <w:b/>
          <w:bCs/>
          <w:color w:val="000000"/>
          <w:sz w:val="32"/>
          <w:szCs w:val="32"/>
          <w:lang w:eastAsia="zh-CN"/>
        </w:rPr>
        <w:t>（类：</w:t>
      </w:r>
      <w:r>
        <w:rPr>
          <w:rFonts w:hint="eastAsia" w:ascii="仿宋" w:hAnsi="仿宋" w:eastAsia="仿宋"/>
          <w:b/>
          <w:bCs/>
          <w:color w:val="000000"/>
          <w:sz w:val="32"/>
          <w:szCs w:val="32"/>
          <w:lang w:val="en-US" w:eastAsia="zh-CN"/>
        </w:rPr>
        <w:t>210</w:t>
      </w:r>
      <w:r>
        <w:rPr>
          <w:rFonts w:hint="eastAsia" w:ascii="仿宋" w:hAnsi="仿宋" w:eastAsia="仿宋"/>
          <w:b/>
          <w:bCs/>
          <w:color w:val="000000"/>
          <w:sz w:val="32"/>
          <w:szCs w:val="32"/>
          <w:lang w:eastAsia="zh-CN"/>
        </w:rPr>
        <w:t>）</w:t>
      </w:r>
      <w:r>
        <w:rPr>
          <w:rFonts w:hint="eastAsia" w:ascii="仿宋" w:hAnsi="仿宋" w:eastAsia="仿宋"/>
          <w:color w:val="000000"/>
          <w:sz w:val="32"/>
          <w:szCs w:val="32"/>
          <w:lang w:val="en-US" w:eastAsia="zh-CN"/>
        </w:rPr>
        <w:t>61.1</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3.7</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color w:val="000000"/>
          <w:sz w:val="32"/>
          <w:szCs w:val="32"/>
        </w:rPr>
        <w:t>住房保障支出</w:t>
      </w:r>
      <w:r>
        <w:rPr>
          <w:rFonts w:hint="eastAsia" w:ascii="仿宋" w:hAnsi="仿宋" w:eastAsia="仿宋"/>
          <w:b/>
          <w:color w:val="000000"/>
          <w:sz w:val="32"/>
          <w:szCs w:val="32"/>
          <w:lang w:eastAsia="zh-CN"/>
        </w:rPr>
        <w:t>（类：</w:t>
      </w:r>
      <w:r>
        <w:rPr>
          <w:rFonts w:hint="eastAsia" w:ascii="仿宋" w:hAnsi="仿宋" w:eastAsia="仿宋"/>
          <w:b/>
          <w:color w:val="000000"/>
          <w:sz w:val="32"/>
          <w:szCs w:val="32"/>
          <w:lang w:val="en-US" w:eastAsia="zh-CN"/>
        </w:rPr>
        <w:t>221</w:t>
      </w:r>
      <w:r>
        <w:rPr>
          <w:rFonts w:hint="eastAsia" w:ascii="仿宋" w:hAnsi="仿宋" w:eastAsia="仿宋"/>
          <w:b/>
          <w:color w:val="000000"/>
          <w:sz w:val="32"/>
          <w:szCs w:val="32"/>
          <w:lang w:eastAsia="zh-CN"/>
        </w:rPr>
        <w:t>）</w:t>
      </w:r>
      <w:r>
        <w:rPr>
          <w:rFonts w:hint="eastAsia" w:ascii="仿宋" w:hAnsi="仿宋" w:eastAsia="仿宋"/>
          <w:color w:val="000000"/>
          <w:sz w:val="32"/>
          <w:szCs w:val="32"/>
          <w:lang w:val="en-US" w:eastAsia="zh-CN"/>
        </w:rPr>
        <w:t>61.9</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3.7</w:t>
      </w:r>
      <w:r>
        <w:rPr>
          <w:rFonts w:ascii="仿宋" w:hAnsi="仿宋" w:eastAsia="仿宋"/>
          <w:color w:val="000000"/>
          <w:sz w:val="32"/>
          <w:szCs w:val="32"/>
        </w:rPr>
        <w:t>%</w:t>
      </w:r>
      <w:r>
        <w:rPr>
          <w:rFonts w:hint="eastAsia" w:ascii="仿宋" w:hAnsi="仿宋" w:eastAsia="仿宋"/>
          <w:color w:val="000000"/>
          <w:sz w:val="32"/>
          <w:szCs w:val="32"/>
        </w:rPr>
        <w:t>。</w:t>
      </w:r>
    </w:p>
    <w:p>
      <w:pPr>
        <w:pStyle w:val="2"/>
        <w:rPr>
          <w:rFonts w:hint="eastAsia" w:ascii="仿宋" w:hAnsi="仿宋" w:eastAsia="仿宋"/>
          <w:color w:val="000000"/>
          <w:sz w:val="32"/>
          <w:szCs w:val="32"/>
          <w:lang w:eastAsia="zh-CN"/>
        </w:rPr>
      </w:pPr>
      <w:r>
        <w:rPr>
          <w:rFonts w:hint="eastAsia" w:ascii="仿宋" w:hAnsi="仿宋" w:eastAsia="仿宋"/>
          <w:color w:val="000000"/>
          <w:sz w:val="32"/>
          <w:szCs w:val="32"/>
          <w:lang w:eastAsia="zh-CN"/>
        </w:rPr>
        <w:drawing>
          <wp:inline distT="0" distB="0" distL="114300" distR="114300">
            <wp:extent cx="4276090" cy="2026285"/>
            <wp:effectExtent l="4445" t="5080" r="5715" b="6985"/>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line="240" w:lineRule="auto"/>
        <w:ind w:firstLine="420" w:firstLineChars="200"/>
        <w:rPr>
          <w:rFonts w:ascii="仿宋" w:hAnsi="仿宋" w:eastAsia="仿宋"/>
          <w:color w:val="000000"/>
          <w:sz w:val="21"/>
          <w:szCs w:val="21"/>
        </w:rPr>
      </w:pPr>
      <w:r>
        <w:rPr>
          <w:rFonts w:hint="eastAsia" w:ascii="仿宋" w:hAnsi="仿宋" w:eastAsia="仿宋"/>
          <w:color w:val="000000"/>
          <w:sz w:val="21"/>
          <w:szCs w:val="21"/>
        </w:rPr>
        <w:t>（图6：一般公共预算财政拨款支出决算结构）（饼状图）</w:t>
      </w:r>
    </w:p>
    <w:p>
      <w:pPr>
        <w:spacing w:line="600" w:lineRule="exact"/>
        <w:ind w:firstLine="640" w:firstLineChars="200"/>
        <w:outlineLvl w:val="2"/>
        <w:rPr>
          <w:rFonts w:ascii="仿宋" w:hAnsi="仿宋" w:eastAsia="仿宋"/>
          <w:b/>
          <w:color w:val="000000"/>
          <w:sz w:val="32"/>
          <w:szCs w:val="32"/>
        </w:rPr>
      </w:pPr>
      <w:bookmarkStart w:id="24" w:name="_Toc15377212"/>
      <w:r>
        <w:rPr>
          <w:rFonts w:hint="eastAsia" w:ascii="仿宋" w:hAnsi="仿宋" w:eastAsia="仿宋"/>
          <w:b/>
          <w:color w:val="000000"/>
          <w:sz w:val="32"/>
          <w:szCs w:val="32"/>
        </w:rPr>
        <w:t>（三）一般公共预算财政拨款支出决算具体情况</w:t>
      </w:r>
      <w:bookmarkEnd w:id="24"/>
    </w:p>
    <w:p>
      <w:pPr>
        <w:spacing w:line="600" w:lineRule="exact"/>
        <w:ind w:firstLine="640" w:firstLineChars="200"/>
        <w:outlineLvl w:val="2"/>
        <w:rPr>
          <w:rFonts w:ascii="仿宋" w:hAnsi="仿宋" w:eastAsia="仿宋"/>
          <w:color w:val="FF0000"/>
          <w:sz w:val="32"/>
          <w:szCs w:val="32"/>
        </w:rPr>
      </w:pPr>
      <w:bookmarkStart w:id="25" w:name="_Toc15378460"/>
      <w:bookmarkStart w:id="26" w:name="_Toc15377444"/>
      <w:bookmarkStart w:id="27" w:name="_Toc15377213"/>
      <w:r>
        <w:rPr>
          <w:rFonts w:ascii="仿宋" w:hAnsi="仿宋" w:eastAsia="仿宋"/>
          <w:b/>
          <w:color w:val="000000"/>
          <w:sz w:val="32"/>
          <w:szCs w:val="32"/>
        </w:rPr>
        <w:t>202</w:t>
      </w:r>
      <w:r>
        <w:rPr>
          <w:rFonts w:hint="eastAsia" w:ascii="仿宋" w:hAnsi="仿宋" w:eastAsia="仿宋"/>
          <w:b/>
          <w:color w:val="000000"/>
          <w:sz w:val="32"/>
          <w:szCs w:val="32"/>
          <w:lang w:val="en-US" w:eastAsia="zh-CN"/>
        </w:rPr>
        <w:t>1</w:t>
      </w:r>
      <w:r>
        <w:rPr>
          <w:rFonts w:hint="eastAsia" w:ascii="仿宋" w:hAnsi="仿宋" w:eastAsia="仿宋"/>
          <w:b/>
          <w:color w:val="000000"/>
          <w:sz w:val="32"/>
          <w:szCs w:val="32"/>
        </w:rPr>
        <w:t>年一般公共预算支出决算数为</w:t>
      </w:r>
      <w:r>
        <w:rPr>
          <w:rFonts w:hint="eastAsia" w:ascii="仿宋" w:hAnsi="仿宋" w:eastAsia="仿宋"/>
          <w:b/>
          <w:color w:val="000000"/>
          <w:sz w:val="32"/>
          <w:szCs w:val="32"/>
          <w:lang w:val="en-US" w:eastAsia="zh-CN"/>
        </w:rPr>
        <w:t>1664.8万元</w:t>
      </w:r>
      <w:r>
        <w:rPr>
          <w:rFonts w:hint="eastAsia" w:ascii="仿宋" w:hAnsi="仿宋" w:eastAsia="仿宋"/>
          <w:color w:val="000000"/>
          <w:sz w:val="32"/>
          <w:szCs w:val="32"/>
        </w:rPr>
        <w:t>，</w:t>
      </w:r>
      <w:r>
        <w:rPr>
          <w:rStyle w:val="15"/>
          <w:rFonts w:hint="eastAsia" w:ascii="仿宋" w:hAnsi="仿宋" w:eastAsia="仿宋"/>
          <w:bCs/>
          <w:color w:val="000000"/>
          <w:sz w:val="32"/>
          <w:szCs w:val="32"/>
        </w:rPr>
        <w:t>完成预算</w:t>
      </w:r>
      <w:r>
        <w:rPr>
          <w:rStyle w:val="15"/>
          <w:rFonts w:hint="eastAsia" w:ascii="仿宋" w:hAnsi="仿宋" w:eastAsia="仿宋"/>
          <w:bCs/>
          <w:color w:val="000000"/>
          <w:sz w:val="32"/>
          <w:szCs w:val="32"/>
          <w:lang w:val="en-US" w:eastAsia="zh-CN"/>
        </w:rPr>
        <w:t>100</w:t>
      </w:r>
      <w:r>
        <w:rPr>
          <w:rStyle w:val="15"/>
          <w:rFonts w:ascii="仿宋" w:hAnsi="仿宋" w:eastAsia="仿宋"/>
          <w:bCs/>
          <w:color w:val="000000"/>
          <w:sz w:val="32"/>
          <w:szCs w:val="32"/>
        </w:rPr>
        <w:t>%</w:t>
      </w:r>
      <w:r>
        <w:rPr>
          <w:rStyle w:val="15"/>
          <w:rFonts w:hint="eastAsia" w:ascii="仿宋" w:hAnsi="仿宋" w:eastAsia="仿宋"/>
          <w:bCs/>
          <w:color w:val="000000"/>
          <w:sz w:val="32"/>
          <w:szCs w:val="32"/>
        </w:rPr>
        <w:t>。其中：</w:t>
      </w:r>
    </w:p>
    <w:p>
      <w:pPr>
        <w:keepNext w:val="0"/>
        <w:keepLines w:val="0"/>
        <w:pageBreakBefore w:val="0"/>
        <w:kinsoku/>
        <w:wordWrap/>
        <w:overflowPunct/>
        <w:topLinePunct w:val="0"/>
        <w:bidi w:val="0"/>
        <w:spacing w:line="560" w:lineRule="exact"/>
        <w:ind w:firstLine="640" w:firstLineChars="200"/>
        <w:textAlignment w:val="auto"/>
        <w:rPr>
          <w:rStyle w:val="15"/>
          <w:rFonts w:hint="default" w:ascii="仿宋" w:hAnsi="仿宋" w:eastAsia="仿宋"/>
          <w:bCs/>
          <w:color w:val="000000"/>
          <w:sz w:val="32"/>
          <w:szCs w:val="32"/>
          <w:lang w:val="en-US" w:eastAsia="zh-CN"/>
        </w:rPr>
      </w:pPr>
      <w:r>
        <w:rPr>
          <w:rStyle w:val="15"/>
          <w:rFonts w:hint="eastAsia" w:ascii="仿宋" w:hAnsi="仿宋" w:eastAsia="仿宋"/>
          <w:bCs/>
          <w:color w:val="000000"/>
          <w:sz w:val="32"/>
          <w:szCs w:val="32"/>
          <w:lang w:val="en-US" w:eastAsia="zh-CN"/>
        </w:rPr>
        <w:t>1.一般公共服务支出（201）：</w:t>
      </w:r>
      <w:r>
        <w:rPr>
          <w:rStyle w:val="15"/>
          <w:rFonts w:hint="eastAsia" w:ascii="仿宋" w:hAnsi="仿宋" w:eastAsia="仿宋"/>
          <w:b w:val="0"/>
          <w:bCs w:val="0"/>
          <w:color w:val="000000"/>
          <w:sz w:val="32"/>
          <w:szCs w:val="32"/>
          <w:lang w:val="en-US" w:eastAsia="zh-CN"/>
        </w:rPr>
        <w:t>支出决算为10万元（其中2019999-其他一般公共服务支出10万元），</w:t>
      </w:r>
      <w:r>
        <w:rPr>
          <w:rStyle w:val="15"/>
          <w:rFonts w:hint="eastAsia" w:ascii="仿宋_GB2312" w:eastAsia="仿宋_GB2312"/>
          <w:b w:val="0"/>
          <w:sz w:val="32"/>
          <w:szCs w:val="32"/>
        </w:rPr>
        <w:t>完成预算100%，决算数与预算数持平。</w:t>
      </w:r>
    </w:p>
    <w:p>
      <w:pPr>
        <w:keepNext w:val="0"/>
        <w:keepLines w:val="0"/>
        <w:pageBreakBefore w:val="0"/>
        <w:kinsoku/>
        <w:wordWrap/>
        <w:overflowPunct/>
        <w:topLinePunct w:val="0"/>
        <w:bidi w:val="0"/>
        <w:spacing w:line="560" w:lineRule="exact"/>
        <w:ind w:firstLine="640" w:firstLineChars="200"/>
        <w:textAlignment w:val="auto"/>
        <w:rPr>
          <w:rFonts w:ascii="仿宋" w:hAnsi="仿宋" w:eastAsia="仿宋"/>
          <w:b/>
          <w:color w:val="000000"/>
          <w:sz w:val="32"/>
          <w:szCs w:val="32"/>
        </w:rPr>
      </w:pPr>
      <w:r>
        <w:rPr>
          <w:rStyle w:val="15"/>
          <w:rFonts w:hint="eastAsia" w:ascii="仿宋" w:hAnsi="仿宋" w:eastAsia="仿宋"/>
          <w:bCs/>
          <w:color w:val="000000"/>
          <w:sz w:val="32"/>
          <w:szCs w:val="32"/>
          <w:lang w:val="en-US" w:eastAsia="zh-CN"/>
        </w:rPr>
        <w:t>2</w:t>
      </w:r>
      <w:r>
        <w:rPr>
          <w:rStyle w:val="15"/>
          <w:rFonts w:ascii="仿宋" w:hAnsi="仿宋" w:eastAsia="仿宋"/>
          <w:bCs/>
          <w:color w:val="000000"/>
          <w:sz w:val="32"/>
          <w:szCs w:val="32"/>
        </w:rPr>
        <w:t>.</w:t>
      </w:r>
      <w:r>
        <w:rPr>
          <w:rStyle w:val="15"/>
          <w:rFonts w:hint="eastAsia" w:ascii="仿宋" w:hAnsi="仿宋" w:eastAsia="仿宋"/>
          <w:bCs/>
          <w:color w:val="000000"/>
          <w:sz w:val="32"/>
          <w:szCs w:val="32"/>
        </w:rPr>
        <w:t>公共安全支出</w:t>
      </w:r>
      <w:r>
        <w:rPr>
          <w:rStyle w:val="15"/>
          <w:rFonts w:hint="eastAsia" w:ascii="仿宋" w:hAnsi="仿宋" w:eastAsia="仿宋"/>
          <w:bCs/>
          <w:color w:val="000000"/>
          <w:sz w:val="32"/>
          <w:szCs w:val="32"/>
          <w:lang w:val="en-US" w:eastAsia="zh-CN"/>
        </w:rPr>
        <w:t>（204）</w:t>
      </w:r>
      <w:r>
        <w:rPr>
          <w:rStyle w:val="15"/>
          <w:rFonts w:ascii="仿宋" w:hAnsi="仿宋" w:eastAsia="仿宋"/>
          <w:bCs/>
          <w:color w:val="000000"/>
          <w:sz w:val="32"/>
          <w:szCs w:val="32"/>
        </w:rPr>
        <w:t>:</w:t>
      </w:r>
      <w:r>
        <w:rPr>
          <w:rStyle w:val="15"/>
          <w:rFonts w:hint="eastAsia" w:ascii="仿宋" w:hAnsi="仿宋" w:eastAsia="仿宋"/>
          <w:b w:val="0"/>
          <w:bCs/>
          <w:color w:val="000000"/>
          <w:sz w:val="32"/>
          <w:szCs w:val="32"/>
        </w:rPr>
        <w:t>支出决算为</w:t>
      </w:r>
      <w:r>
        <w:rPr>
          <w:rFonts w:hint="eastAsia" w:ascii="仿宋" w:hAnsi="仿宋" w:eastAsia="仿宋"/>
          <w:color w:val="000000"/>
          <w:sz w:val="32"/>
          <w:szCs w:val="32"/>
          <w:lang w:val="en-US" w:eastAsia="zh-CN"/>
        </w:rPr>
        <w:t>1406.9</w:t>
      </w:r>
      <w:r>
        <w:rPr>
          <w:rStyle w:val="15"/>
          <w:rFonts w:hint="eastAsia" w:ascii="仿宋" w:hAnsi="仿宋" w:eastAsia="仿宋"/>
          <w:b w:val="0"/>
          <w:bCs/>
          <w:color w:val="000000"/>
          <w:sz w:val="32"/>
          <w:szCs w:val="32"/>
        </w:rPr>
        <w:t>万元</w:t>
      </w:r>
      <w:r>
        <w:rPr>
          <w:rStyle w:val="15"/>
          <w:rFonts w:hint="eastAsia" w:ascii="仿宋" w:hAnsi="仿宋" w:eastAsia="仿宋"/>
          <w:b w:val="0"/>
          <w:bCs/>
          <w:color w:val="000000"/>
          <w:sz w:val="32"/>
          <w:szCs w:val="32"/>
          <w:lang w:eastAsia="zh-CN"/>
        </w:rPr>
        <w:t>（</w:t>
      </w:r>
      <w:r>
        <w:rPr>
          <w:rStyle w:val="15"/>
          <w:rFonts w:hint="eastAsia" w:ascii="仿宋_GB2312" w:eastAsia="仿宋_GB2312"/>
          <w:b w:val="0"/>
          <w:color w:val="000000"/>
          <w:sz w:val="32"/>
          <w:szCs w:val="32"/>
        </w:rPr>
        <w:t>其中2040401-行政运行支出</w:t>
      </w:r>
      <w:r>
        <w:rPr>
          <w:rStyle w:val="15"/>
          <w:rFonts w:hint="eastAsia" w:ascii="仿宋_GB2312" w:eastAsia="仿宋_GB2312"/>
          <w:b w:val="0"/>
          <w:color w:val="000000"/>
          <w:sz w:val="32"/>
          <w:szCs w:val="32"/>
          <w:lang w:val="en-US" w:eastAsia="zh-CN"/>
        </w:rPr>
        <w:t>1050.5</w:t>
      </w:r>
      <w:r>
        <w:rPr>
          <w:rStyle w:val="15"/>
          <w:rFonts w:hint="eastAsia" w:ascii="仿宋_GB2312" w:eastAsia="仿宋_GB2312"/>
          <w:b w:val="0"/>
          <w:color w:val="000000"/>
          <w:sz w:val="32"/>
          <w:szCs w:val="32"/>
        </w:rPr>
        <w:t>万元，2040402-般行政管理事务支出</w:t>
      </w:r>
      <w:r>
        <w:rPr>
          <w:rStyle w:val="15"/>
          <w:rFonts w:hint="eastAsia" w:ascii="仿宋_GB2312" w:eastAsia="仿宋_GB2312"/>
          <w:b w:val="0"/>
          <w:color w:val="000000"/>
          <w:sz w:val="32"/>
          <w:szCs w:val="32"/>
          <w:lang w:val="en-US" w:eastAsia="zh-CN"/>
        </w:rPr>
        <w:t>278.4</w:t>
      </w:r>
      <w:r>
        <w:rPr>
          <w:rStyle w:val="15"/>
          <w:rFonts w:hint="eastAsia" w:ascii="仿宋_GB2312" w:eastAsia="仿宋_GB2312"/>
          <w:b w:val="0"/>
          <w:color w:val="000000"/>
          <w:sz w:val="32"/>
          <w:szCs w:val="32"/>
        </w:rPr>
        <w:t>万元</w:t>
      </w:r>
      <w:r>
        <w:rPr>
          <w:rStyle w:val="15"/>
          <w:rFonts w:hint="eastAsia" w:ascii="仿宋_GB2312" w:eastAsia="仿宋_GB2312"/>
          <w:b w:val="0"/>
          <w:color w:val="000000"/>
          <w:sz w:val="32"/>
          <w:szCs w:val="32"/>
          <w:lang w:val="en-US" w:eastAsia="zh-CN"/>
        </w:rPr>
        <w:t>,2040450-事业运行支出78万元</w:t>
      </w:r>
      <w:r>
        <w:rPr>
          <w:rStyle w:val="15"/>
          <w:rFonts w:hint="eastAsia" w:ascii="仿宋_GB2312" w:eastAsia="仿宋_GB2312"/>
          <w:b w:val="0"/>
          <w:color w:val="000000"/>
          <w:sz w:val="32"/>
          <w:szCs w:val="32"/>
        </w:rPr>
        <w:t>）</w:t>
      </w:r>
      <w:r>
        <w:rPr>
          <w:rStyle w:val="15"/>
          <w:rFonts w:hint="eastAsia" w:ascii="仿宋_GB2312" w:eastAsia="仿宋_GB2312"/>
          <w:b w:val="0"/>
          <w:color w:val="000000"/>
          <w:sz w:val="32"/>
          <w:szCs w:val="32"/>
          <w:lang w:eastAsia="zh-CN"/>
        </w:rPr>
        <w:t>，</w:t>
      </w:r>
      <w:r>
        <w:rPr>
          <w:rStyle w:val="15"/>
          <w:rFonts w:hint="eastAsia" w:ascii="仿宋_GB2312" w:eastAsia="仿宋_GB2312"/>
          <w:b w:val="0"/>
          <w:sz w:val="32"/>
          <w:szCs w:val="32"/>
        </w:rPr>
        <w:t>完成预算100%，决算数与预算数持平。</w:t>
      </w:r>
    </w:p>
    <w:p>
      <w:pPr>
        <w:keepNext w:val="0"/>
        <w:keepLines w:val="0"/>
        <w:pageBreakBefore w:val="0"/>
        <w:kinsoku/>
        <w:wordWrap/>
        <w:overflowPunct/>
        <w:topLinePunct w:val="0"/>
        <w:bidi w:val="0"/>
        <w:spacing w:line="560" w:lineRule="exact"/>
        <w:ind w:firstLine="640" w:firstLineChars="200"/>
        <w:textAlignment w:val="auto"/>
        <w:rPr>
          <w:rFonts w:ascii="仿宋" w:hAnsi="仿宋" w:eastAsia="仿宋"/>
          <w:b/>
          <w:color w:val="000000"/>
          <w:sz w:val="32"/>
          <w:szCs w:val="32"/>
        </w:rPr>
      </w:pPr>
      <w:r>
        <w:rPr>
          <w:rStyle w:val="15"/>
          <w:rFonts w:hint="eastAsia" w:ascii="仿宋" w:hAnsi="仿宋" w:eastAsia="仿宋"/>
          <w:bCs/>
          <w:color w:val="000000"/>
          <w:sz w:val="32"/>
          <w:szCs w:val="32"/>
          <w:lang w:val="en-US" w:eastAsia="zh-CN"/>
        </w:rPr>
        <w:t>3</w:t>
      </w:r>
      <w:r>
        <w:rPr>
          <w:rStyle w:val="15"/>
          <w:rFonts w:ascii="仿宋" w:hAnsi="仿宋" w:eastAsia="仿宋"/>
          <w:bCs/>
          <w:color w:val="000000"/>
          <w:sz w:val="32"/>
          <w:szCs w:val="32"/>
        </w:rPr>
        <w:t>.</w:t>
      </w:r>
      <w:r>
        <w:rPr>
          <w:rStyle w:val="15"/>
          <w:rFonts w:hint="eastAsia" w:ascii="仿宋" w:hAnsi="仿宋" w:eastAsia="仿宋"/>
          <w:bCs/>
          <w:color w:val="000000"/>
          <w:sz w:val="32"/>
          <w:szCs w:val="32"/>
        </w:rPr>
        <w:t>社会保障和就业</w:t>
      </w:r>
      <w:r>
        <w:rPr>
          <w:rStyle w:val="15"/>
          <w:rFonts w:hint="eastAsia" w:ascii="仿宋" w:hAnsi="仿宋" w:eastAsia="仿宋"/>
          <w:bCs/>
          <w:color w:val="000000"/>
          <w:sz w:val="32"/>
          <w:szCs w:val="32"/>
          <w:lang w:eastAsia="zh-CN"/>
        </w:rPr>
        <w:t>支出</w:t>
      </w:r>
      <w:r>
        <w:rPr>
          <w:rStyle w:val="15"/>
          <w:rFonts w:hint="eastAsia" w:ascii="仿宋" w:hAnsi="仿宋" w:eastAsia="仿宋"/>
          <w:bCs/>
          <w:color w:val="000000"/>
          <w:sz w:val="32"/>
          <w:szCs w:val="32"/>
        </w:rPr>
        <w:t>（</w:t>
      </w:r>
      <w:r>
        <w:rPr>
          <w:rStyle w:val="15"/>
          <w:rFonts w:hint="eastAsia" w:ascii="仿宋" w:hAnsi="仿宋" w:eastAsia="仿宋"/>
          <w:bCs/>
          <w:color w:val="000000"/>
          <w:sz w:val="32"/>
          <w:szCs w:val="32"/>
          <w:lang w:val="en-US" w:eastAsia="zh-CN"/>
        </w:rPr>
        <w:t>208</w:t>
      </w:r>
      <w:r>
        <w:rPr>
          <w:rStyle w:val="15"/>
          <w:rFonts w:hint="eastAsia" w:ascii="仿宋" w:hAnsi="仿宋" w:eastAsia="仿宋"/>
          <w:bCs/>
          <w:color w:val="000000"/>
          <w:sz w:val="32"/>
          <w:szCs w:val="32"/>
        </w:rPr>
        <w:t>）</w:t>
      </w:r>
      <w:r>
        <w:rPr>
          <w:rStyle w:val="15"/>
          <w:rFonts w:ascii="仿宋" w:hAnsi="仿宋" w:eastAsia="仿宋"/>
          <w:bCs/>
          <w:color w:val="000000"/>
          <w:sz w:val="32"/>
          <w:szCs w:val="32"/>
        </w:rPr>
        <w:t>:</w:t>
      </w:r>
      <w:r>
        <w:rPr>
          <w:rStyle w:val="15"/>
          <w:rFonts w:hint="eastAsia" w:ascii="仿宋" w:hAnsi="仿宋" w:eastAsia="仿宋"/>
          <w:b w:val="0"/>
          <w:bCs/>
          <w:color w:val="000000"/>
          <w:sz w:val="32"/>
          <w:szCs w:val="32"/>
        </w:rPr>
        <w:t>支出决算为</w:t>
      </w:r>
      <w:r>
        <w:rPr>
          <w:rStyle w:val="15"/>
          <w:rFonts w:hint="eastAsia" w:ascii="仿宋" w:hAnsi="仿宋" w:eastAsia="仿宋"/>
          <w:b w:val="0"/>
          <w:bCs/>
          <w:color w:val="000000"/>
          <w:sz w:val="32"/>
          <w:szCs w:val="32"/>
          <w:lang w:val="en-US" w:eastAsia="zh-CN"/>
        </w:rPr>
        <w:t>124.9</w:t>
      </w:r>
      <w:r>
        <w:rPr>
          <w:rStyle w:val="15"/>
          <w:rFonts w:hint="eastAsia" w:ascii="仿宋" w:hAnsi="仿宋" w:eastAsia="仿宋"/>
          <w:b w:val="0"/>
          <w:bCs/>
          <w:color w:val="000000"/>
          <w:sz w:val="32"/>
          <w:szCs w:val="32"/>
        </w:rPr>
        <w:t>万元</w:t>
      </w:r>
      <w:r>
        <w:rPr>
          <w:rStyle w:val="15"/>
          <w:rFonts w:hint="eastAsia" w:ascii="仿宋" w:hAnsi="仿宋" w:eastAsia="仿宋"/>
          <w:b w:val="0"/>
          <w:bCs/>
          <w:color w:val="000000"/>
          <w:sz w:val="32"/>
          <w:szCs w:val="32"/>
          <w:lang w:eastAsia="zh-CN"/>
        </w:rPr>
        <w:t>（其中：</w:t>
      </w:r>
      <w:r>
        <w:rPr>
          <w:rStyle w:val="15"/>
          <w:rFonts w:hint="eastAsia" w:ascii="仿宋_GB2312" w:eastAsia="仿宋_GB2312"/>
          <w:b w:val="0"/>
          <w:color w:val="000000"/>
          <w:sz w:val="32"/>
          <w:szCs w:val="32"/>
        </w:rPr>
        <w:t>2080505-机关事业单位基本养老保险缴费支出</w:t>
      </w:r>
      <w:r>
        <w:rPr>
          <w:rStyle w:val="15"/>
          <w:rFonts w:hint="eastAsia" w:ascii="仿宋_GB2312" w:eastAsia="仿宋_GB2312"/>
          <w:b w:val="0"/>
          <w:color w:val="000000"/>
          <w:sz w:val="32"/>
          <w:szCs w:val="32"/>
          <w:lang w:val="en-US" w:eastAsia="zh-CN"/>
        </w:rPr>
        <w:t>:79.9</w:t>
      </w:r>
      <w:r>
        <w:rPr>
          <w:rStyle w:val="15"/>
          <w:rFonts w:hint="eastAsia" w:ascii="仿宋_GB2312" w:eastAsia="仿宋_GB2312"/>
          <w:b w:val="0"/>
          <w:color w:val="000000"/>
          <w:sz w:val="32"/>
          <w:szCs w:val="32"/>
        </w:rPr>
        <w:t>万元</w:t>
      </w:r>
      <w:r>
        <w:rPr>
          <w:rStyle w:val="15"/>
          <w:rFonts w:hint="eastAsia" w:ascii="仿宋_GB2312" w:eastAsia="仿宋_GB2312"/>
          <w:b w:val="0"/>
          <w:color w:val="000000"/>
          <w:sz w:val="32"/>
          <w:szCs w:val="32"/>
          <w:lang w:eastAsia="zh-CN"/>
        </w:rPr>
        <w:t>，</w:t>
      </w:r>
      <w:r>
        <w:rPr>
          <w:rStyle w:val="15"/>
          <w:rFonts w:hint="eastAsia" w:ascii="仿宋_GB2312" w:eastAsia="仿宋_GB2312"/>
          <w:b w:val="0"/>
          <w:color w:val="000000"/>
          <w:sz w:val="32"/>
          <w:szCs w:val="32"/>
          <w:lang w:val="en-US" w:eastAsia="zh-CN"/>
        </w:rPr>
        <w:t>2089999-其他社会保障和就业支出28.2万元，2080506-机关事业单位职业年金缴费支出16.8万元</w:t>
      </w:r>
      <w:r>
        <w:rPr>
          <w:rStyle w:val="15"/>
          <w:rFonts w:hint="eastAsia" w:ascii="仿宋" w:hAnsi="仿宋" w:eastAsia="仿宋"/>
          <w:b w:val="0"/>
          <w:bCs/>
          <w:color w:val="000000"/>
          <w:sz w:val="32"/>
          <w:szCs w:val="32"/>
          <w:lang w:eastAsia="zh-CN"/>
        </w:rPr>
        <w:t>）</w:t>
      </w:r>
      <w:r>
        <w:rPr>
          <w:rStyle w:val="15"/>
          <w:rFonts w:hint="eastAsia" w:ascii="仿宋_GB2312" w:eastAsia="仿宋_GB2312"/>
          <w:b w:val="0"/>
          <w:color w:val="000000"/>
          <w:sz w:val="32"/>
          <w:szCs w:val="32"/>
          <w:lang w:val="en-US" w:eastAsia="zh-CN"/>
        </w:rPr>
        <w:t>。</w:t>
      </w:r>
      <w:r>
        <w:rPr>
          <w:rStyle w:val="15"/>
          <w:rFonts w:hint="eastAsia" w:ascii="仿宋_GB2312" w:eastAsia="仿宋_GB2312"/>
          <w:b w:val="0"/>
          <w:sz w:val="32"/>
          <w:szCs w:val="32"/>
        </w:rPr>
        <w:t>完成预算100%，决算数与预算数持平。</w:t>
      </w:r>
    </w:p>
    <w:p>
      <w:pPr>
        <w:keepNext w:val="0"/>
        <w:keepLines w:val="0"/>
        <w:pageBreakBefore w:val="0"/>
        <w:kinsoku/>
        <w:wordWrap/>
        <w:overflowPunct/>
        <w:topLinePunct w:val="0"/>
        <w:bidi w:val="0"/>
        <w:spacing w:line="560" w:lineRule="exact"/>
        <w:ind w:firstLine="640" w:firstLineChars="200"/>
        <w:textAlignment w:val="auto"/>
        <w:rPr>
          <w:rStyle w:val="15"/>
          <w:rFonts w:hint="eastAsia" w:ascii="仿宋_GB2312" w:eastAsia="仿宋_GB2312"/>
          <w:b w:val="0"/>
          <w:color w:val="FF0000"/>
          <w:sz w:val="32"/>
          <w:szCs w:val="32"/>
        </w:rPr>
      </w:pPr>
      <w:r>
        <w:rPr>
          <w:rStyle w:val="15"/>
          <w:rFonts w:hint="eastAsia" w:ascii="仿宋" w:hAnsi="仿宋" w:eastAsia="仿宋"/>
          <w:bCs/>
          <w:color w:val="000000"/>
          <w:sz w:val="32"/>
          <w:szCs w:val="32"/>
          <w:lang w:val="en-US" w:eastAsia="zh-CN"/>
        </w:rPr>
        <w:t>4</w:t>
      </w:r>
      <w:r>
        <w:rPr>
          <w:rStyle w:val="15"/>
          <w:rFonts w:ascii="仿宋" w:hAnsi="仿宋" w:eastAsia="仿宋"/>
          <w:bCs/>
          <w:color w:val="000000"/>
          <w:sz w:val="32"/>
          <w:szCs w:val="32"/>
        </w:rPr>
        <w:t>.</w:t>
      </w:r>
      <w:r>
        <w:rPr>
          <w:rFonts w:hint="eastAsia" w:ascii="仿宋" w:hAnsi="仿宋" w:eastAsia="仿宋"/>
          <w:b/>
          <w:bCs/>
          <w:color w:val="000000"/>
          <w:sz w:val="32"/>
          <w:szCs w:val="32"/>
        </w:rPr>
        <w:t>卫生健康</w:t>
      </w:r>
      <w:r>
        <w:rPr>
          <w:rFonts w:hint="eastAsia" w:ascii="仿宋" w:hAnsi="仿宋" w:eastAsia="仿宋"/>
          <w:b/>
          <w:bCs/>
          <w:color w:val="000000"/>
          <w:sz w:val="32"/>
          <w:szCs w:val="32"/>
          <w:lang w:eastAsia="zh-CN"/>
        </w:rPr>
        <w:t>支出</w:t>
      </w:r>
      <w:r>
        <w:rPr>
          <w:rStyle w:val="15"/>
          <w:rFonts w:hint="eastAsia" w:ascii="仿宋" w:hAnsi="仿宋" w:eastAsia="仿宋"/>
          <w:bCs/>
          <w:color w:val="000000"/>
          <w:sz w:val="32"/>
          <w:szCs w:val="32"/>
        </w:rPr>
        <w:t>（</w:t>
      </w:r>
      <w:r>
        <w:rPr>
          <w:rStyle w:val="15"/>
          <w:rFonts w:hint="eastAsia" w:ascii="仿宋" w:hAnsi="仿宋" w:eastAsia="仿宋"/>
          <w:bCs/>
          <w:color w:val="000000"/>
          <w:sz w:val="32"/>
          <w:szCs w:val="32"/>
          <w:lang w:val="en-US" w:eastAsia="zh-CN"/>
        </w:rPr>
        <w:t>210</w:t>
      </w:r>
      <w:r>
        <w:rPr>
          <w:rStyle w:val="15"/>
          <w:rFonts w:hint="eastAsia" w:ascii="仿宋" w:hAnsi="仿宋" w:eastAsia="仿宋"/>
          <w:bCs/>
          <w:color w:val="000000"/>
          <w:sz w:val="32"/>
          <w:szCs w:val="32"/>
        </w:rPr>
        <w:t>）</w:t>
      </w:r>
      <w:r>
        <w:rPr>
          <w:rStyle w:val="15"/>
          <w:rFonts w:ascii="仿宋" w:hAnsi="仿宋" w:eastAsia="仿宋"/>
          <w:bCs/>
          <w:color w:val="000000"/>
          <w:sz w:val="32"/>
          <w:szCs w:val="32"/>
        </w:rPr>
        <w:t>:</w:t>
      </w:r>
      <w:r>
        <w:rPr>
          <w:rStyle w:val="15"/>
          <w:rFonts w:hint="eastAsia" w:ascii="仿宋" w:hAnsi="仿宋" w:eastAsia="仿宋"/>
          <w:b w:val="0"/>
          <w:bCs/>
          <w:color w:val="000000"/>
          <w:sz w:val="32"/>
          <w:szCs w:val="32"/>
        </w:rPr>
        <w:t>支出决算为</w:t>
      </w:r>
      <w:r>
        <w:rPr>
          <w:rStyle w:val="15"/>
          <w:rFonts w:hint="eastAsia" w:ascii="仿宋" w:hAnsi="仿宋" w:eastAsia="仿宋"/>
          <w:b w:val="0"/>
          <w:bCs/>
          <w:color w:val="000000"/>
          <w:sz w:val="32"/>
          <w:szCs w:val="32"/>
          <w:lang w:val="en-US" w:eastAsia="zh-CN"/>
        </w:rPr>
        <w:t>61</w:t>
      </w:r>
      <w:r>
        <w:rPr>
          <w:rStyle w:val="15"/>
          <w:rFonts w:hint="eastAsia" w:ascii="仿宋" w:hAnsi="仿宋" w:eastAsia="仿宋"/>
          <w:b w:val="0"/>
          <w:bCs/>
          <w:color w:val="000000"/>
          <w:sz w:val="32"/>
          <w:szCs w:val="32"/>
        </w:rPr>
        <w:t>万元，</w:t>
      </w:r>
      <w:r>
        <w:rPr>
          <w:rStyle w:val="15"/>
          <w:rFonts w:hint="eastAsia" w:ascii="仿宋_GB2312" w:eastAsia="仿宋_GB2312"/>
          <w:b w:val="0"/>
          <w:color w:val="000000"/>
          <w:sz w:val="32"/>
          <w:szCs w:val="32"/>
        </w:rPr>
        <w:t>（其中2101101-行政单位医疗</w:t>
      </w:r>
      <w:r>
        <w:rPr>
          <w:rStyle w:val="15"/>
          <w:rFonts w:hint="eastAsia" w:ascii="仿宋_GB2312" w:eastAsia="仿宋_GB2312"/>
          <w:b w:val="0"/>
          <w:color w:val="000000"/>
          <w:sz w:val="32"/>
          <w:szCs w:val="32"/>
          <w:lang w:val="en-US" w:eastAsia="zh-CN"/>
        </w:rPr>
        <w:t>45.7</w:t>
      </w:r>
      <w:r>
        <w:rPr>
          <w:rStyle w:val="15"/>
          <w:rFonts w:hint="eastAsia" w:ascii="仿宋_GB2312" w:eastAsia="仿宋_GB2312"/>
          <w:b w:val="0"/>
          <w:color w:val="000000"/>
          <w:sz w:val="32"/>
          <w:szCs w:val="32"/>
        </w:rPr>
        <w:t>万元，210110</w:t>
      </w:r>
      <w:r>
        <w:rPr>
          <w:rStyle w:val="15"/>
          <w:rFonts w:hint="eastAsia" w:ascii="仿宋_GB2312" w:eastAsia="仿宋_GB2312"/>
          <w:b w:val="0"/>
          <w:color w:val="000000"/>
          <w:sz w:val="32"/>
          <w:szCs w:val="32"/>
          <w:lang w:val="en-US" w:eastAsia="zh-CN"/>
        </w:rPr>
        <w:t>2</w:t>
      </w:r>
      <w:r>
        <w:rPr>
          <w:rStyle w:val="15"/>
          <w:rFonts w:hint="eastAsia" w:ascii="仿宋_GB2312" w:eastAsia="仿宋_GB2312"/>
          <w:b w:val="0"/>
          <w:color w:val="000000"/>
          <w:sz w:val="32"/>
          <w:szCs w:val="32"/>
        </w:rPr>
        <w:t>-</w:t>
      </w:r>
      <w:r>
        <w:rPr>
          <w:rStyle w:val="15"/>
          <w:rFonts w:hint="eastAsia" w:ascii="仿宋_GB2312" w:eastAsia="仿宋_GB2312"/>
          <w:b w:val="0"/>
          <w:color w:val="000000"/>
          <w:sz w:val="32"/>
          <w:szCs w:val="32"/>
          <w:lang w:eastAsia="zh-CN"/>
        </w:rPr>
        <w:t>事业</w:t>
      </w:r>
      <w:r>
        <w:rPr>
          <w:rStyle w:val="15"/>
          <w:rFonts w:hint="eastAsia" w:ascii="仿宋_GB2312" w:eastAsia="仿宋_GB2312"/>
          <w:b w:val="0"/>
          <w:color w:val="000000"/>
          <w:sz w:val="32"/>
          <w:szCs w:val="32"/>
        </w:rPr>
        <w:t>单位医疗</w:t>
      </w:r>
      <w:r>
        <w:rPr>
          <w:rStyle w:val="15"/>
          <w:rFonts w:hint="eastAsia" w:ascii="仿宋_GB2312" w:eastAsia="仿宋_GB2312"/>
          <w:b w:val="0"/>
          <w:color w:val="000000"/>
          <w:sz w:val="32"/>
          <w:szCs w:val="32"/>
          <w:lang w:val="en-US" w:eastAsia="zh-CN"/>
        </w:rPr>
        <w:t>3.1</w:t>
      </w:r>
      <w:r>
        <w:rPr>
          <w:rStyle w:val="15"/>
          <w:rFonts w:hint="eastAsia" w:ascii="仿宋_GB2312" w:eastAsia="仿宋_GB2312"/>
          <w:b w:val="0"/>
          <w:color w:val="000000"/>
          <w:sz w:val="32"/>
          <w:szCs w:val="32"/>
        </w:rPr>
        <w:t>万元</w:t>
      </w:r>
      <w:r>
        <w:rPr>
          <w:rStyle w:val="15"/>
          <w:rFonts w:hint="eastAsia" w:ascii="仿宋_GB2312" w:eastAsia="仿宋_GB2312"/>
          <w:b w:val="0"/>
          <w:color w:val="000000"/>
          <w:sz w:val="32"/>
          <w:szCs w:val="32"/>
          <w:lang w:eastAsia="zh-CN"/>
        </w:rPr>
        <w:t>，</w:t>
      </w:r>
      <w:r>
        <w:rPr>
          <w:rStyle w:val="15"/>
          <w:rFonts w:hint="eastAsia" w:ascii="仿宋_GB2312" w:eastAsia="仿宋_GB2312"/>
          <w:b w:val="0"/>
          <w:color w:val="000000"/>
          <w:sz w:val="32"/>
          <w:szCs w:val="32"/>
        </w:rPr>
        <w:t>2101103-公务员医疗补助</w:t>
      </w:r>
      <w:r>
        <w:rPr>
          <w:rStyle w:val="15"/>
          <w:rFonts w:hint="eastAsia" w:ascii="仿宋_GB2312" w:eastAsia="仿宋_GB2312"/>
          <w:b w:val="0"/>
          <w:color w:val="000000"/>
          <w:sz w:val="32"/>
          <w:szCs w:val="32"/>
          <w:lang w:val="en-US" w:eastAsia="zh-CN"/>
        </w:rPr>
        <w:t>12.2</w:t>
      </w:r>
      <w:r>
        <w:rPr>
          <w:rStyle w:val="15"/>
          <w:rFonts w:hint="eastAsia" w:ascii="仿宋_GB2312" w:eastAsia="仿宋_GB2312"/>
          <w:b w:val="0"/>
          <w:color w:val="000000"/>
          <w:sz w:val="32"/>
          <w:szCs w:val="32"/>
        </w:rPr>
        <w:t>万元），</w:t>
      </w:r>
      <w:r>
        <w:rPr>
          <w:rStyle w:val="15"/>
          <w:rFonts w:hint="eastAsia" w:ascii="仿宋_GB2312" w:eastAsia="仿宋_GB2312"/>
          <w:b w:val="0"/>
          <w:sz w:val="32"/>
          <w:szCs w:val="32"/>
        </w:rPr>
        <w:t>完成预算100%，决算数与预算数持平。</w:t>
      </w:r>
    </w:p>
    <w:bookmarkEnd w:id="25"/>
    <w:bookmarkEnd w:id="26"/>
    <w:bookmarkEnd w:id="27"/>
    <w:p>
      <w:pPr>
        <w:keepNext w:val="0"/>
        <w:keepLines w:val="0"/>
        <w:pageBreakBefore w:val="0"/>
        <w:kinsoku/>
        <w:wordWrap/>
        <w:overflowPunct/>
        <w:topLinePunct w:val="0"/>
        <w:bidi w:val="0"/>
        <w:spacing w:line="560" w:lineRule="exact"/>
        <w:ind w:firstLine="640" w:firstLineChars="200"/>
        <w:textAlignment w:val="auto"/>
        <w:rPr>
          <w:rFonts w:hint="default" w:eastAsia="仿宋_GB2312"/>
          <w:lang w:val="en-US" w:eastAsia="zh-CN"/>
        </w:rPr>
      </w:pPr>
      <w:r>
        <w:rPr>
          <w:rStyle w:val="15"/>
          <w:rFonts w:hint="eastAsia" w:ascii="仿宋" w:hAnsi="仿宋" w:eastAsia="仿宋"/>
          <w:bCs/>
          <w:color w:val="000000"/>
          <w:sz w:val="32"/>
          <w:szCs w:val="32"/>
          <w:lang w:val="en-US" w:eastAsia="zh-CN"/>
        </w:rPr>
        <w:t>5</w:t>
      </w:r>
      <w:r>
        <w:rPr>
          <w:rStyle w:val="15"/>
          <w:rFonts w:ascii="仿宋" w:hAnsi="仿宋" w:eastAsia="仿宋"/>
          <w:bCs/>
          <w:color w:val="000000"/>
          <w:sz w:val="32"/>
          <w:szCs w:val="32"/>
        </w:rPr>
        <w:t>.</w:t>
      </w:r>
      <w:r>
        <w:rPr>
          <w:rStyle w:val="15"/>
          <w:rFonts w:hint="eastAsia" w:ascii="仿宋" w:hAnsi="仿宋" w:eastAsia="仿宋"/>
          <w:bCs/>
          <w:color w:val="000000"/>
          <w:sz w:val="32"/>
          <w:szCs w:val="32"/>
        </w:rPr>
        <w:t>住房保障</w:t>
      </w:r>
      <w:r>
        <w:rPr>
          <w:rStyle w:val="15"/>
          <w:rFonts w:hint="eastAsia" w:ascii="仿宋" w:hAnsi="仿宋" w:eastAsia="仿宋"/>
          <w:bCs/>
          <w:color w:val="000000"/>
          <w:sz w:val="32"/>
          <w:szCs w:val="32"/>
          <w:lang w:eastAsia="zh-CN"/>
        </w:rPr>
        <w:t>支出</w:t>
      </w:r>
      <w:r>
        <w:rPr>
          <w:rStyle w:val="15"/>
          <w:rFonts w:hint="eastAsia" w:ascii="仿宋" w:hAnsi="仿宋" w:eastAsia="仿宋"/>
          <w:bCs/>
          <w:color w:val="000000"/>
          <w:sz w:val="32"/>
          <w:szCs w:val="32"/>
        </w:rPr>
        <w:t>（</w:t>
      </w:r>
      <w:r>
        <w:rPr>
          <w:rStyle w:val="15"/>
          <w:rFonts w:hint="eastAsia" w:ascii="仿宋" w:hAnsi="仿宋" w:eastAsia="仿宋"/>
          <w:bCs/>
          <w:color w:val="000000"/>
          <w:sz w:val="32"/>
          <w:szCs w:val="32"/>
          <w:lang w:val="en-US" w:eastAsia="zh-CN"/>
        </w:rPr>
        <w:t>221</w:t>
      </w:r>
      <w:r>
        <w:rPr>
          <w:rStyle w:val="15"/>
          <w:rFonts w:hint="eastAsia" w:ascii="仿宋" w:hAnsi="仿宋" w:eastAsia="仿宋"/>
          <w:bCs/>
          <w:color w:val="000000"/>
          <w:sz w:val="32"/>
          <w:szCs w:val="32"/>
        </w:rPr>
        <w:t>）</w:t>
      </w:r>
      <w:r>
        <w:rPr>
          <w:rStyle w:val="15"/>
          <w:rFonts w:ascii="仿宋" w:hAnsi="仿宋" w:eastAsia="仿宋"/>
          <w:bCs/>
          <w:color w:val="000000"/>
          <w:sz w:val="32"/>
          <w:szCs w:val="32"/>
        </w:rPr>
        <w:t>:</w:t>
      </w:r>
      <w:r>
        <w:rPr>
          <w:rStyle w:val="15"/>
          <w:rFonts w:hint="eastAsia" w:ascii="仿宋" w:hAnsi="仿宋" w:eastAsia="仿宋"/>
          <w:b w:val="0"/>
          <w:bCs/>
          <w:color w:val="000000"/>
          <w:sz w:val="32"/>
          <w:szCs w:val="32"/>
        </w:rPr>
        <w:t>支出决算为</w:t>
      </w:r>
      <w:r>
        <w:rPr>
          <w:rStyle w:val="15"/>
          <w:rFonts w:hint="eastAsia" w:ascii="仿宋" w:hAnsi="仿宋" w:eastAsia="仿宋"/>
          <w:b w:val="0"/>
          <w:bCs/>
          <w:color w:val="000000"/>
          <w:sz w:val="32"/>
          <w:szCs w:val="32"/>
          <w:lang w:val="en-US" w:eastAsia="zh-CN"/>
        </w:rPr>
        <w:t>61.9</w:t>
      </w:r>
      <w:r>
        <w:rPr>
          <w:rStyle w:val="15"/>
          <w:rFonts w:hint="eastAsia" w:ascii="仿宋" w:hAnsi="仿宋" w:eastAsia="仿宋"/>
          <w:b w:val="0"/>
          <w:bCs/>
          <w:color w:val="000000"/>
          <w:sz w:val="32"/>
          <w:szCs w:val="32"/>
        </w:rPr>
        <w:t>万元，</w:t>
      </w:r>
      <w:r>
        <w:rPr>
          <w:rStyle w:val="15"/>
          <w:rFonts w:hint="eastAsia" w:ascii="仿宋_GB2312" w:eastAsia="仿宋_GB2312"/>
          <w:b w:val="0"/>
          <w:color w:val="000000"/>
          <w:sz w:val="32"/>
          <w:szCs w:val="32"/>
        </w:rPr>
        <w:t>其中2210201-住房公积金</w:t>
      </w:r>
      <w:r>
        <w:rPr>
          <w:rStyle w:val="15"/>
          <w:rFonts w:hint="eastAsia" w:ascii="仿宋" w:hAnsi="仿宋" w:eastAsia="仿宋"/>
          <w:b w:val="0"/>
          <w:bCs/>
          <w:color w:val="000000"/>
          <w:sz w:val="32"/>
          <w:szCs w:val="32"/>
          <w:lang w:val="en-US" w:eastAsia="zh-CN"/>
        </w:rPr>
        <w:t>61.9</w:t>
      </w:r>
      <w:r>
        <w:rPr>
          <w:rStyle w:val="15"/>
          <w:rFonts w:hint="eastAsia" w:ascii="仿宋_GB2312" w:eastAsia="仿宋_GB2312"/>
          <w:b w:val="0"/>
          <w:color w:val="000000"/>
          <w:sz w:val="32"/>
          <w:szCs w:val="32"/>
        </w:rPr>
        <w:t>万元），</w:t>
      </w:r>
      <w:r>
        <w:rPr>
          <w:rStyle w:val="15"/>
          <w:rFonts w:hint="eastAsia" w:ascii="仿宋_GB2312" w:eastAsia="仿宋_GB2312"/>
          <w:b w:val="0"/>
          <w:sz w:val="32"/>
          <w:szCs w:val="32"/>
        </w:rPr>
        <w:t>完成预算100%，决算数与预算数持平。</w:t>
      </w:r>
    </w:p>
    <w:p>
      <w:pPr>
        <w:tabs>
          <w:tab w:val="right" w:pos="8306"/>
        </w:tabs>
        <w:spacing w:line="600" w:lineRule="exact"/>
        <w:ind w:firstLine="640"/>
        <w:outlineLvl w:val="1"/>
        <w:rPr>
          <w:rStyle w:val="26"/>
        </w:rPr>
      </w:pPr>
      <w:bookmarkStart w:id="28" w:name="_Toc15377214"/>
      <w:bookmarkStart w:id="29" w:name="_Toc15396608"/>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26"/>
          <w:rFonts w:hint="eastAsia" w:ascii="黑体" w:hAnsi="黑体" w:eastAsia="黑体"/>
          <w:b w:val="0"/>
        </w:rPr>
        <w:t>般公共预算财政拨款基本支出决算情况说明</w:t>
      </w:r>
      <w:bookmarkEnd w:id="28"/>
      <w:bookmarkEnd w:id="29"/>
      <w:r>
        <w:rPr>
          <w:rStyle w:val="26"/>
          <w:rFonts w:ascii="黑体" w:hAnsi="黑体" w:eastAsia="黑体"/>
          <w:b w:val="0"/>
        </w:rPr>
        <w:tab/>
      </w:r>
    </w:p>
    <w:p>
      <w:pPr>
        <w:spacing w:line="600" w:lineRule="exact"/>
        <w:ind w:firstLine="645"/>
        <w:rPr>
          <w:rFonts w:hint="eastAsia" w:ascii="仿宋" w:hAnsi="仿宋" w:eastAsia="仿宋"/>
          <w:color w:val="000000"/>
          <w:sz w:val="32"/>
          <w:szCs w:val="32"/>
          <w:lang w:eastAsia="zh-CN"/>
        </w:rPr>
      </w:pPr>
      <w:r>
        <w:rPr>
          <w:rFonts w:ascii="仿宋" w:hAnsi="仿宋" w:eastAsia="仿宋"/>
          <w:color w:val="000000"/>
          <w:sz w:val="32"/>
          <w:szCs w:val="32"/>
        </w:rPr>
        <w:t>202</w:t>
      </w:r>
      <w:r>
        <w:rPr>
          <w:rFonts w:hint="eastAsia" w:ascii="仿宋" w:hAnsi="仿宋" w:eastAsia="仿宋"/>
          <w:color w:val="000000"/>
          <w:sz w:val="32"/>
          <w:szCs w:val="32"/>
          <w:lang w:val="en-US" w:eastAsia="zh-CN"/>
        </w:rPr>
        <w:t>1</w:t>
      </w:r>
      <w:r>
        <w:rPr>
          <w:rFonts w:hint="eastAsia" w:ascii="仿宋" w:hAnsi="仿宋" w:eastAsia="仿宋"/>
          <w:color w:val="000000"/>
          <w:sz w:val="32"/>
          <w:szCs w:val="32"/>
        </w:rPr>
        <w:t>年一般公共预算财政拨款基本支出</w:t>
      </w:r>
      <w:r>
        <w:rPr>
          <w:rFonts w:hint="eastAsia" w:ascii="仿宋" w:hAnsi="仿宋" w:eastAsia="仿宋"/>
          <w:color w:val="000000"/>
          <w:sz w:val="32"/>
          <w:szCs w:val="32"/>
          <w:lang w:val="en-US" w:eastAsia="zh-CN"/>
        </w:rPr>
        <w:t>1376.4</w:t>
      </w:r>
      <w:r>
        <w:rPr>
          <w:rFonts w:hint="eastAsia" w:ascii="仿宋" w:hAnsi="仿宋" w:eastAsia="仿宋"/>
          <w:color w:val="000000"/>
          <w:sz w:val="32"/>
          <w:szCs w:val="32"/>
        </w:rPr>
        <w:t>万元，其中：人员经费</w:t>
      </w:r>
      <w:r>
        <w:rPr>
          <w:rFonts w:hint="eastAsia" w:ascii="仿宋" w:hAnsi="仿宋" w:eastAsia="仿宋"/>
          <w:color w:val="000000"/>
          <w:sz w:val="32"/>
          <w:szCs w:val="32"/>
          <w:lang w:val="en-US" w:eastAsia="zh-CN"/>
        </w:rPr>
        <w:t>1273.2</w:t>
      </w:r>
      <w:r>
        <w:rPr>
          <w:rFonts w:hint="eastAsia" w:ascii="仿宋" w:hAnsi="仿宋" w:eastAsia="仿宋"/>
          <w:color w:val="000000"/>
          <w:sz w:val="32"/>
          <w:szCs w:val="32"/>
        </w:rPr>
        <w:t>万元，主要包括：基本工资、津贴补贴、奖金、绩效工资、机关事业单位基本养老保险缴费、职业年金缴费、其他社会保障缴费、其他工资福利支出、离休费、抚恤金、生活补助、奖励金、住房公积金、其他对个人和家庭的补助支出等。</w:t>
      </w:r>
    </w:p>
    <w:p>
      <w:pPr>
        <w:spacing w:line="600" w:lineRule="exact"/>
        <w:ind w:firstLine="645"/>
        <w:rPr>
          <w:rFonts w:ascii="仿宋" w:hAnsi="仿宋" w:eastAsia="仿宋"/>
          <w:color w:val="000000"/>
          <w:sz w:val="32"/>
          <w:szCs w:val="32"/>
        </w:rPr>
      </w:pPr>
      <w:r>
        <w:rPr>
          <w:rFonts w:hint="eastAsia" w:ascii="仿宋" w:hAnsi="仿宋" w:eastAsia="仿宋"/>
          <w:color w:val="000000"/>
          <w:sz w:val="32"/>
          <w:szCs w:val="32"/>
        </w:rPr>
        <w:t>　　公用经费</w:t>
      </w:r>
      <w:r>
        <w:rPr>
          <w:rFonts w:hint="eastAsia" w:ascii="仿宋" w:hAnsi="仿宋" w:eastAsia="仿宋"/>
          <w:color w:val="000000"/>
          <w:sz w:val="32"/>
          <w:szCs w:val="32"/>
          <w:lang w:val="en-US" w:eastAsia="zh-CN"/>
        </w:rPr>
        <w:t>103.2</w:t>
      </w:r>
      <w:r>
        <w:rPr>
          <w:rFonts w:hint="eastAsia" w:ascii="仿宋" w:hAnsi="仿宋" w:eastAsia="仿宋"/>
          <w:color w:val="000000"/>
          <w:sz w:val="32"/>
          <w:szCs w:val="32"/>
        </w:rPr>
        <w:t>万元，主要包括：办公费、印刷费、咨询费、手续费、水费、电费、邮电费、物业管理费、差旅费、因公出国（境）费用、维修（护）费、租赁费、会议费、培训费、公务接待费、劳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outlineLvl w:val="1"/>
        <w:rPr>
          <w:rStyle w:val="26"/>
          <w:rFonts w:ascii="黑体" w:hAnsi="黑体" w:eastAsia="黑体"/>
          <w:b w:val="0"/>
        </w:rPr>
      </w:pPr>
      <w:bookmarkStart w:id="30" w:name="_Toc15377215"/>
      <w:bookmarkStart w:id="31" w:name="_Toc15396609"/>
      <w:r>
        <w:rPr>
          <w:rFonts w:hint="eastAsia" w:ascii="黑体" w:eastAsia="黑体"/>
          <w:color w:val="000000"/>
          <w:sz w:val="32"/>
          <w:szCs w:val="32"/>
        </w:rPr>
        <w:t>七、</w:t>
      </w:r>
      <w:r>
        <w:rPr>
          <w:rStyle w:val="26"/>
          <w:rFonts w:hint="eastAsia" w:ascii="黑体" w:hAnsi="黑体" w:eastAsia="黑体"/>
        </w:rPr>
        <w:t>“</w:t>
      </w:r>
      <w:r>
        <w:rPr>
          <w:rStyle w:val="26"/>
          <w:rFonts w:hint="eastAsia" w:ascii="黑体" w:hAnsi="黑体" w:eastAsia="黑体"/>
          <w:b w:val="0"/>
        </w:rPr>
        <w:t>三公”经费财政拨款支出决算情况说明</w:t>
      </w:r>
      <w:bookmarkEnd w:id="30"/>
      <w:bookmarkEnd w:id="31"/>
    </w:p>
    <w:p>
      <w:pPr>
        <w:spacing w:line="600" w:lineRule="exact"/>
        <w:ind w:firstLine="640"/>
        <w:outlineLvl w:val="2"/>
        <w:rPr>
          <w:rFonts w:ascii="仿宋" w:hAnsi="仿宋" w:eastAsia="仿宋"/>
          <w:b/>
          <w:color w:val="000000"/>
          <w:sz w:val="32"/>
          <w:szCs w:val="32"/>
        </w:rPr>
      </w:pPr>
      <w:bookmarkStart w:id="32" w:name="_Toc15377216"/>
      <w:r>
        <w:rPr>
          <w:rFonts w:hint="eastAsia" w:ascii="仿宋" w:hAnsi="仿宋" w:eastAsia="仿宋"/>
          <w:b/>
          <w:color w:val="000000"/>
          <w:sz w:val="32"/>
          <w:szCs w:val="32"/>
        </w:rPr>
        <w:t>（一）“三公”经费财政拨款支出决算总体情况说明</w:t>
      </w:r>
      <w:bookmarkEnd w:id="32"/>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202</w:t>
      </w:r>
      <w:r>
        <w:rPr>
          <w:rFonts w:hint="eastAsia" w:ascii="仿宋" w:hAnsi="仿宋" w:eastAsia="仿宋"/>
          <w:color w:val="000000"/>
          <w:sz w:val="32"/>
          <w:szCs w:val="32"/>
          <w:lang w:val="en-US" w:eastAsia="zh-CN"/>
        </w:rPr>
        <w:t>1</w:t>
      </w:r>
      <w:r>
        <w:rPr>
          <w:rFonts w:hint="eastAsia" w:ascii="仿宋" w:hAnsi="仿宋" w:eastAsia="仿宋"/>
          <w:color w:val="000000"/>
          <w:sz w:val="32"/>
          <w:szCs w:val="32"/>
        </w:rPr>
        <w:t>年“三公”经费财政拨款支出决算为</w:t>
      </w:r>
      <w:r>
        <w:rPr>
          <w:rFonts w:hint="eastAsia" w:ascii="仿宋" w:hAnsi="仿宋" w:eastAsia="仿宋"/>
          <w:color w:val="000000"/>
          <w:sz w:val="32"/>
          <w:szCs w:val="32"/>
          <w:lang w:val="en-US" w:eastAsia="zh-CN"/>
        </w:rPr>
        <w:t>23.29</w:t>
      </w:r>
      <w:r>
        <w:rPr>
          <w:rFonts w:hint="eastAsia" w:ascii="仿宋" w:hAnsi="仿宋" w:eastAsia="仿宋"/>
          <w:color w:val="000000"/>
          <w:sz w:val="32"/>
          <w:szCs w:val="32"/>
        </w:rPr>
        <w:t>万元，完成预算</w:t>
      </w:r>
      <w:r>
        <w:rPr>
          <w:rFonts w:hint="eastAsia" w:ascii="仿宋" w:hAnsi="仿宋" w:eastAsia="仿宋"/>
          <w:color w:val="000000"/>
          <w:sz w:val="32"/>
          <w:szCs w:val="32"/>
          <w:lang w:val="en-US" w:eastAsia="zh-CN"/>
        </w:rPr>
        <w:t>89.6</w:t>
      </w:r>
      <w:r>
        <w:rPr>
          <w:rFonts w:ascii="仿宋" w:hAnsi="仿宋" w:eastAsia="仿宋"/>
          <w:color w:val="000000"/>
          <w:sz w:val="32"/>
          <w:szCs w:val="32"/>
        </w:rPr>
        <w:t>%</w:t>
      </w:r>
      <w:r>
        <w:rPr>
          <w:rFonts w:hint="eastAsia" w:ascii="仿宋" w:hAnsi="仿宋" w:eastAsia="仿宋"/>
          <w:color w:val="000000"/>
          <w:sz w:val="32"/>
          <w:szCs w:val="32"/>
        </w:rPr>
        <w:t>，决算数小于预算数的主要原因是</w:t>
      </w:r>
      <w:r>
        <w:rPr>
          <w:rFonts w:hint="eastAsia" w:ascii="仿宋" w:hAnsi="仿宋" w:eastAsia="仿宋"/>
          <w:color w:val="000000"/>
          <w:sz w:val="32"/>
          <w:szCs w:val="32"/>
          <w:lang w:eastAsia="zh-CN"/>
        </w:rPr>
        <w:t>我院严格执行中央、省、市、县各级关于公务接待的相关要求，坚持厉行节约、杜绝浪费原则，严格按照公务接待标准接待，控制接待费用。</w:t>
      </w:r>
    </w:p>
    <w:p>
      <w:pPr>
        <w:spacing w:line="600" w:lineRule="exact"/>
        <w:ind w:firstLine="640"/>
        <w:outlineLvl w:val="2"/>
        <w:rPr>
          <w:rFonts w:ascii="仿宋" w:hAnsi="仿宋" w:eastAsia="仿宋"/>
          <w:b/>
          <w:color w:val="000000"/>
          <w:sz w:val="32"/>
          <w:szCs w:val="32"/>
        </w:rPr>
      </w:pPr>
      <w:bookmarkStart w:id="33" w:name="_Toc15377217"/>
      <w:r>
        <w:rPr>
          <w:rFonts w:hint="eastAsia" w:ascii="仿宋" w:hAnsi="仿宋" w:eastAsia="仿宋"/>
          <w:b/>
          <w:color w:val="000000"/>
          <w:sz w:val="32"/>
          <w:szCs w:val="32"/>
        </w:rPr>
        <w:t>（二）“三公”经费财政拨款支出决算具体情况说明</w:t>
      </w:r>
      <w:bookmarkEnd w:id="33"/>
    </w:p>
    <w:p>
      <w:pPr>
        <w:spacing w:line="600" w:lineRule="exact"/>
        <w:ind w:firstLine="640"/>
        <w:rPr>
          <w:rFonts w:hint="eastAsia" w:ascii="仿宋" w:hAnsi="仿宋" w:eastAsia="仿宋"/>
          <w:color w:val="000000"/>
          <w:sz w:val="32"/>
          <w:szCs w:val="32"/>
          <w:lang w:eastAsia="zh-CN"/>
        </w:rPr>
      </w:pPr>
      <w:r>
        <w:rPr>
          <w:rFonts w:ascii="仿宋" w:hAnsi="仿宋" w:eastAsia="仿宋"/>
          <w:color w:val="000000"/>
          <w:sz w:val="32"/>
          <w:szCs w:val="32"/>
        </w:rPr>
        <w:t>20</w:t>
      </w:r>
      <w:r>
        <w:rPr>
          <w:rFonts w:hint="eastAsia" w:ascii="仿宋" w:hAnsi="仿宋" w:eastAsia="仿宋"/>
          <w:color w:val="000000"/>
          <w:sz w:val="32"/>
          <w:szCs w:val="32"/>
          <w:lang w:val="en-US" w:eastAsia="zh-CN"/>
        </w:rPr>
        <w:t>21</w:t>
      </w:r>
      <w:r>
        <w:rPr>
          <w:rFonts w:hint="eastAsia" w:ascii="仿宋" w:hAnsi="仿宋" w:eastAsia="仿宋"/>
          <w:color w:val="000000"/>
          <w:sz w:val="32"/>
          <w:szCs w:val="32"/>
        </w:rPr>
        <w:t>年“三公”经费财政拨款支出决算中，因公出国（境）费支出决算</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；公务用车购置及运行维护费支出决算</w:t>
      </w:r>
      <w:r>
        <w:rPr>
          <w:rFonts w:hint="eastAsia" w:ascii="仿宋" w:hAnsi="仿宋" w:eastAsia="仿宋"/>
          <w:color w:val="000000"/>
          <w:sz w:val="32"/>
          <w:szCs w:val="32"/>
          <w:lang w:val="en-US" w:eastAsia="zh-CN"/>
        </w:rPr>
        <w:t>19.49</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83.7</w:t>
      </w:r>
      <w:r>
        <w:rPr>
          <w:rFonts w:ascii="仿宋" w:hAnsi="仿宋" w:eastAsia="仿宋"/>
          <w:color w:val="000000"/>
          <w:sz w:val="32"/>
          <w:szCs w:val="32"/>
        </w:rPr>
        <w:t>%</w:t>
      </w:r>
      <w:r>
        <w:rPr>
          <w:rFonts w:hint="eastAsia" w:ascii="仿宋" w:hAnsi="仿宋" w:eastAsia="仿宋"/>
          <w:color w:val="000000"/>
          <w:sz w:val="32"/>
          <w:szCs w:val="32"/>
        </w:rPr>
        <w:t>；公务接待费支出决算</w:t>
      </w:r>
      <w:r>
        <w:rPr>
          <w:rFonts w:hint="eastAsia" w:ascii="仿宋" w:hAnsi="仿宋" w:eastAsia="仿宋"/>
          <w:color w:val="000000"/>
          <w:sz w:val="32"/>
          <w:szCs w:val="32"/>
          <w:lang w:val="en-US" w:eastAsia="zh-CN"/>
        </w:rPr>
        <w:t>3.8</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16.3</w:t>
      </w:r>
      <w:r>
        <w:rPr>
          <w:rFonts w:ascii="仿宋" w:hAnsi="仿宋" w:eastAsia="仿宋"/>
          <w:color w:val="000000"/>
          <w:sz w:val="32"/>
          <w:szCs w:val="32"/>
        </w:rPr>
        <w:t>%</w:t>
      </w:r>
      <w:r>
        <w:rPr>
          <w:rFonts w:hint="eastAsia" w:ascii="仿宋" w:hAnsi="仿宋" w:eastAsia="仿宋"/>
          <w:color w:val="000000"/>
          <w:sz w:val="32"/>
          <w:szCs w:val="32"/>
        </w:rPr>
        <w:t>。具体情况如下：</w:t>
      </w:r>
    </w:p>
    <w:p>
      <w:pPr>
        <w:pStyle w:val="2"/>
        <w:rPr>
          <w:rFonts w:hint="eastAsia" w:ascii="仿宋" w:hAnsi="仿宋" w:eastAsia="仿宋"/>
          <w:color w:val="000000"/>
          <w:sz w:val="32"/>
          <w:szCs w:val="32"/>
          <w:lang w:eastAsia="zh-CN"/>
        </w:rPr>
      </w:pPr>
      <w:r>
        <w:rPr>
          <w:rFonts w:hint="eastAsia" w:ascii="仿宋" w:hAnsi="仿宋" w:eastAsia="仿宋"/>
          <w:color w:val="000000"/>
          <w:sz w:val="32"/>
          <w:szCs w:val="32"/>
          <w:lang w:eastAsia="zh-CN"/>
        </w:rPr>
        <w:drawing>
          <wp:inline distT="0" distB="0" distL="114300" distR="114300">
            <wp:extent cx="5080000" cy="2792095"/>
            <wp:effectExtent l="4445" t="4445" r="20955" b="22860"/>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spacing w:line="60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（图8：“三公”经费财政拨款支出结构）（饼状图）</w:t>
      </w:r>
    </w:p>
    <w:p>
      <w:pPr>
        <w:spacing w:line="600" w:lineRule="exact"/>
        <w:ind w:firstLine="640"/>
        <w:rPr>
          <w:rFonts w:ascii="仿宋_GB2312" w:eastAsia="仿宋_GB2312"/>
          <w:b/>
          <w:color w:val="000000"/>
          <w:sz w:val="32"/>
          <w:szCs w:val="32"/>
        </w:rPr>
      </w:pPr>
      <w:r>
        <w:rPr>
          <w:rFonts w:ascii="仿宋_GB2312" w:eastAsia="仿宋_GB2312"/>
          <w:b/>
          <w:color w:val="000000"/>
          <w:sz w:val="32"/>
          <w:szCs w:val="32"/>
        </w:rPr>
        <w:t>1.</w:t>
      </w:r>
      <w:r>
        <w:rPr>
          <w:rFonts w:hint="eastAsia" w:ascii="仿宋_GB2312" w:eastAsia="仿宋_GB2312"/>
          <w:b/>
          <w:color w:val="000000"/>
          <w:sz w:val="32"/>
          <w:szCs w:val="32"/>
        </w:rPr>
        <w:t>因公出国（境）经费支出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r>
        <w:rPr>
          <w:rStyle w:val="15"/>
          <w:rFonts w:hint="eastAsia" w:ascii="仿宋" w:hAnsi="仿宋" w:eastAsia="仿宋"/>
          <w:b w:val="0"/>
          <w:bCs/>
          <w:color w:val="000000"/>
          <w:sz w:val="32"/>
          <w:szCs w:val="32"/>
        </w:rPr>
        <w:t>完成预算</w:t>
      </w:r>
      <w:r>
        <w:rPr>
          <w:rStyle w:val="15"/>
          <w:rFonts w:hint="eastAsia" w:ascii="仿宋" w:hAnsi="仿宋" w:eastAsia="仿宋"/>
          <w:b w:val="0"/>
          <w:bCs/>
          <w:color w:val="000000"/>
          <w:sz w:val="32"/>
          <w:szCs w:val="32"/>
          <w:lang w:val="en-US" w:eastAsia="zh-CN"/>
        </w:rPr>
        <w:t>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r>
        <w:rPr>
          <w:rFonts w:hint="eastAsia" w:ascii="仿宋_GB2312" w:eastAsia="仿宋_GB2312"/>
          <w:color w:val="000000"/>
          <w:sz w:val="32"/>
          <w:szCs w:val="32"/>
        </w:rPr>
        <w:t>全年安排因公出国（境）团组</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次，出国（境）</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人。因公出国（境）支出决算比</w:t>
      </w:r>
      <w:r>
        <w:rPr>
          <w:rFonts w:ascii="仿宋_GB2312" w:eastAsia="仿宋_GB2312"/>
          <w:color w:val="000000"/>
          <w:sz w:val="32"/>
          <w:szCs w:val="32"/>
        </w:rPr>
        <w:t>20</w:t>
      </w:r>
      <w:r>
        <w:rPr>
          <w:rFonts w:hint="eastAsia" w:ascii="仿宋_GB2312" w:eastAsia="仿宋_GB2312"/>
          <w:color w:val="000000"/>
          <w:sz w:val="32"/>
          <w:szCs w:val="32"/>
          <w:lang w:val="en-US" w:eastAsia="zh-CN"/>
        </w:rPr>
        <w:t>20</w:t>
      </w:r>
      <w:r>
        <w:rPr>
          <w:rFonts w:hint="eastAsia" w:ascii="仿宋_GB2312" w:eastAsia="仿宋_GB2312"/>
          <w:color w:val="000000"/>
          <w:sz w:val="32"/>
          <w:szCs w:val="32"/>
        </w:rPr>
        <w:t>年</w:t>
      </w:r>
      <w:r>
        <w:rPr>
          <w:rFonts w:hint="eastAsia" w:ascii="仿宋_GB2312" w:eastAsia="仿宋_GB2312"/>
          <w:color w:val="000000"/>
          <w:sz w:val="32"/>
          <w:szCs w:val="32"/>
          <w:lang w:eastAsia="zh-CN"/>
        </w:rPr>
        <w:t>持平。</w:t>
      </w:r>
    </w:p>
    <w:p>
      <w:pPr>
        <w:spacing w:line="600" w:lineRule="exact"/>
        <w:ind w:firstLine="640"/>
        <w:rPr>
          <w:rFonts w:ascii="仿宋_GB2312" w:eastAsia="仿宋_GB2312"/>
          <w:b/>
          <w:color w:val="000000"/>
          <w:sz w:val="32"/>
          <w:szCs w:val="32"/>
        </w:rPr>
      </w:pPr>
      <w:r>
        <w:rPr>
          <w:rFonts w:ascii="仿宋_GB2312" w:eastAsia="仿宋_GB2312"/>
          <w:b/>
          <w:color w:val="000000"/>
          <w:sz w:val="32"/>
          <w:szCs w:val="32"/>
        </w:rPr>
        <w:t>2.</w:t>
      </w:r>
      <w:r>
        <w:rPr>
          <w:rFonts w:hint="eastAsia" w:ascii="仿宋_GB2312" w:eastAsia="仿宋_GB2312"/>
          <w:b/>
          <w:color w:val="000000"/>
          <w:sz w:val="32"/>
          <w:szCs w:val="32"/>
        </w:rPr>
        <w:t>公务用车购置及运行维护费支出</w:t>
      </w:r>
      <w:r>
        <w:rPr>
          <w:rFonts w:hint="eastAsia" w:ascii="仿宋_GB2312" w:eastAsia="仿宋_GB2312"/>
          <w:color w:val="000000"/>
          <w:sz w:val="32"/>
          <w:szCs w:val="32"/>
          <w:lang w:val="en-US" w:eastAsia="zh-CN"/>
        </w:rPr>
        <w:t>19.49</w:t>
      </w:r>
      <w:r>
        <w:rPr>
          <w:rFonts w:hint="eastAsia" w:ascii="仿宋_GB2312" w:eastAsia="仿宋_GB2312"/>
          <w:color w:val="000000"/>
          <w:sz w:val="32"/>
          <w:szCs w:val="32"/>
        </w:rPr>
        <w:t>万元,</w:t>
      </w:r>
      <w:r>
        <w:rPr>
          <w:rStyle w:val="15"/>
          <w:rFonts w:hint="eastAsia" w:ascii="仿宋" w:hAnsi="仿宋" w:eastAsia="仿宋"/>
          <w:b w:val="0"/>
          <w:bCs/>
          <w:color w:val="000000"/>
          <w:sz w:val="32"/>
          <w:szCs w:val="32"/>
        </w:rPr>
        <w:t>完成预算</w:t>
      </w:r>
      <w:r>
        <w:rPr>
          <w:rStyle w:val="15"/>
          <w:rFonts w:hint="eastAsia" w:ascii="仿宋" w:hAnsi="仿宋" w:eastAsia="仿宋"/>
          <w:b w:val="0"/>
          <w:bCs/>
          <w:color w:val="000000"/>
          <w:sz w:val="32"/>
          <w:szCs w:val="32"/>
          <w:lang w:val="en-US" w:eastAsia="zh-CN"/>
        </w:rPr>
        <w:t>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r>
        <w:rPr>
          <w:rFonts w:hint="eastAsia" w:ascii="仿宋_GB2312" w:eastAsia="仿宋_GB2312"/>
          <w:color w:val="000000"/>
          <w:sz w:val="32"/>
          <w:szCs w:val="32"/>
        </w:rPr>
        <w:t>公务用车购置及运行维护费支出决算比</w:t>
      </w:r>
      <w:r>
        <w:rPr>
          <w:rFonts w:ascii="仿宋_GB2312" w:eastAsia="仿宋_GB2312"/>
          <w:color w:val="000000"/>
          <w:sz w:val="32"/>
          <w:szCs w:val="32"/>
        </w:rPr>
        <w:t>20</w:t>
      </w:r>
      <w:r>
        <w:rPr>
          <w:rFonts w:hint="eastAsia" w:ascii="仿宋_GB2312" w:eastAsia="仿宋_GB2312"/>
          <w:color w:val="000000"/>
          <w:sz w:val="32"/>
          <w:szCs w:val="32"/>
          <w:lang w:val="en-US" w:eastAsia="zh-CN"/>
        </w:rPr>
        <w:t>20</w:t>
      </w:r>
      <w:r>
        <w:rPr>
          <w:rFonts w:hint="eastAsia" w:ascii="仿宋_GB2312" w:eastAsia="仿宋_GB2312"/>
          <w:color w:val="000000"/>
          <w:sz w:val="32"/>
          <w:szCs w:val="32"/>
        </w:rPr>
        <w:t>年</w:t>
      </w:r>
      <w:r>
        <w:rPr>
          <w:rFonts w:hint="eastAsia" w:ascii="仿宋_GB2312" w:eastAsia="仿宋_GB2312"/>
          <w:color w:val="000000"/>
          <w:sz w:val="32"/>
          <w:szCs w:val="32"/>
          <w:lang w:eastAsia="zh-CN"/>
        </w:rPr>
        <w:t>持平</w:t>
      </w:r>
      <w:r>
        <w:rPr>
          <w:rFonts w:hint="eastAsia" w:ascii="仿宋_GB2312" w:eastAsia="仿宋_GB2312"/>
          <w:color w:val="000000"/>
          <w:sz w:val="32"/>
          <w:szCs w:val="32"/>
        </w:rPr>
        <w:t>。</w:t>
      </w:r>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其中：</w:t>
      </w:r>
      <w:r>
        <w:rPr>
          <w:rFonts w:hint="eastAsia" w:ascii="仿宋_GB2312" w:eastAsia="仿宋_GB2312"/>
          <w:b/>
          <w:color w:val="000000"/>
          <w:sz w:val="32"/>
          <w:szCs w:val="32"/>
        </w:rPr>
        <w:t>公务用车运行维护费支出</w:t>
      </w:r>
      <w:r>
        <w:rPr>
          <w:rFonts w:hint="eastAsia" w:ascii="仿宋_GB2312" w:eastAsia="仿宋_GB2312"/>
          <w:color w:val="000000"/>
          <w:sz w:val="32"/>
          <w:szCs w:val="32"/>
          <w:lang w:val="en-US" w:eastAsia="zh-CN"/>
        </w:rPr>
        <w:t>19.49</w:t>
      </w:r>
      <w:r>
        <w:rPr>
          <w:rFonts w:hint="eastAsia" w:ascii="仿宋_GB2312" w:eastAsia="仿宋_GB2312"/>
          <w:color w:val="000000"/>
          <w:sz w:val="32"/>
          <w:szCs w:val="32"/>
        </w:rPr>
        <w:t>万元。主要用于检察办案及检察事务等所需的公务用车燃料费、维修费、过路过桥费、保险费等支出。</w:t>
      </w:r>
    </w:p>
    <w:p>
      <w:pPr>
        <w:spacing w:line="600" w:lineRule="exact"/>
        <w:ind w:firstLine="640"/>
        <w:rPr>
          <w:rFonts w:hint="eastAsia" w:ascii="仿宋_GB2312" w:eastAsia="仿宋_GB2312"/>
          <w:color w:val="000000"/>
          <w:sz w:val="32"/>
          <w:szCs w:val="32"/>
          <w:lang w:eastAsia="zh-CN"/>
        </w:rPr>
      </w:pPr>
      <w:r>
        <w:rPr>
          <w:rFonts w:ascii="仿宋_GB2312" w:eastAsia="仿宋_GB2312"/>
          <w:b/>
          <w:color w:val="000000"/>
          <w:sz w:val="32"/>
          <w:szCs w:val="32"/>
        </w:rPr>
        <w:t>3.</w:t>
      </w:r>
      <w:r>
        <w:rPr>
          <w:rFonts w:hint="eastAsia" w:ascii="仿宋_GB2312" w:eastAsia="仿宋_GB2312"/>
          <w:b/>
          <w:color w:val="000000"/>
          <w:sz w:val="32"/>
          <w:szCs w:val="32"/>
        </w:rPr>
        <w:t>公务接待费支出</w:t>
      </w:r>
      <w:r>
        <w:rPr>
          <w:rFonts w:hint="eastAsia" w:ascii="仿宋_GB2312" w:eastAsia="仿宋_GB2312"/>
          <w:b/>
          <w:color w:val="000000"/>
          <w:sz w:val="32"/>
          <w:szCs w:val="32"/>
          <w:lang w:val="en-US" w:eastAsia="zh-CN"/>
        </w:rPr>
        <w:t>3.8</w:t>
      </w:r>
      <w:r>
        <w:rPr>
          <w:rFonts w:hint="eastAsia" w:ascii="仿宋_GB2312" w:eastAsia="仿宋_GB2312"/>
          <w:color w:val="000000"/>
          <w:sz w:val="32"/>
          <w:szCs w:val="32"/>
        </w:rPr>
        <w:t>万元，</w:t>
      </w:r>
      <w:r>
        <w:rPr>
          <w:rStyle w:val="15"/>
          <w:rFonts w:hint="eastAsia" w:ascii="仿宋" w:hAnsi="仿宋" w:eastAsia="仿宋"/>
          <w:b w:val="0"/>
          <w:bCs/>
          <w:color w:val="000000"/>
          <w:sz w:val="32"/>
          <w:szCs w:val="32"/>
        </w:rPr>
        <w:t>完成预算</w:t>
      </w:r>
      <w:r>
        <w:rPr>
          <w:rStyle w:val="15"/>
          <w:rFonts w:hint="eastAsia" w:ascii="仿宋" w:hAnsi="仿宋" w:eastAsia="仿宋"/>
          <w:b w:val="0"/>
          <w:bCs/>
          <w:color w:val="000000"/>
          <w:sz w:val="32"/>
          <w:szCs w:val="32"/>
          <w:lang w:val="en-US" w:eastAsia="zh-CN"/>
        </w:rPr>
        <w:t>63.3</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r>
        <w:rPr>
          <w:rFonts w:hint="eastAsia" w:ascii="仿宋_GB2312" w:eastAsia="仿宋_GB2312"/>
          <w:color w:val="000000"/>
          <w:sz w:val="32"/>
          <w:szCs w:val="32"/>
        </w:rPr>
        <w:t>公务接待费支出决算比</w:t>
      </w:r>
      <w:r>
        <w:rPr>
          <w:rFonts w:ascii="仿宋_GB2312" w:eastAsia="仿宋_GB2312"/>
          <w:color w:val="000000"/>
          <w:sz w:val="32"/>
          <w:szCs w:val="32"/>
        </w:rPr>
        <w:t>20</w:t>
      </w:r>
      <w:r>
        <w:rPr>
          <w:rFonts w:hint="eastAsia" w:ascii="仿宋_GB2312" w:eastAsia="仿宋_GB2312"/>
          <w:color w:val="000000"/>
          <w:sz w:val="32"/>
          <w:szCs w:val="32"/>
          <w:lang w:val="en-US" w:eastAsia="zh-CN"/>
        </w:rPr>
        <w:t>20年减少0.48</w:t>
      </w:r>
      <w:r>
        <w:rPr>
          <w:rFonts w:hint="eastAsia" w:ascii="仿宋_GB2312" w:eastAsia="仿宋_GB2312"/>
          <w:color w:val="000000"/>
          <w:sz w:val="32"/>
          <w:szCs w:val="32"/>
        </w:rPr>
        <w:t>万元，</w:t>
      </w:r>
      <w:r>
        <w:rPr>
          <w:rFonts w:hint="eastAsia" w:ascii="仿宋_GB2312" w:eastAsia="仿宋_GB2312"/>
          <w:color w:val="000000"/>
          <w:sz w:val="32"/>
          <w:szCs w:val="32"/>
          <w:lang w:val="en-US" w:eastAsia="zh-CN"/>
        </w:rPr>
        <w:t>下降11.2</w:t>
      </w:r>
      <w:r>
        <w:rPr>
          <w:rFonts w:ascii="仿宋_GB2312" w:eastAsia="仿宋_GB2312"/>
          <w:color w:val="000000"/>
          <w:sz w:val="32"/>
          <w:szCs w:val="32"/>
        </w:rPr>
        <w:t>%</w:t>
      </w:r>
      <w:r>
        <w:rPr>
          <w:rFonts w:hint="eastAsia" w:ascii="仿宋_GB2312" w:eastAsia="仿宋_GB2312"/>
          <w:color w:val="000000"/>
          <w:sz w:val="32"/>
          <w:szCs w:val="32"/>
        </w:rPr>
        <w:t>。</w:t>
      </w:r>
      <w:r>
        <w:rPr>
          <w:rFonts w:hint="eastAsia" w:ascii="仿宋" w:hAnsi="仿宋" w:eastAsia="仿宋"/>
          <w:color w:val="000000"/>
          <w:sz w:val="32"/>
          <w:szCs w:val="32"/>
          <w:highlight w:val="none"/>
          <w:lang w:eastAsia="zh-CN"/>
        </w:rPr>
        <w:t>我院严格执行中央、省、市、县各级关于公务接待的相关要求，坚持厉行节约、杜绝浪费原则，严格按照公务接待标准接待，控制接待费用，</w:t>
      </w:r>
      <w:r>
        <w:rPr>
          <w:rFonts w:hint="eastAsia" w:ascii="仿宋" w:hAnsi="仿宋" w:eastAsia="仿宋"/>
          <w:color w:val="000000"/>
          <w:sz w:val="32"/>
          <w:szCs w:val="32"/>
          <w:highlight w:val="none"/>
          <w:lang w:val="en-US" w:eastAsia="zh-CN"/>
        </w:rPr>
        <w:t>因为疫情影响减少了公务接待活动</w:t>
      </w:r>
      <w:r>
        <w:rPr>
          <w:rFonts w:hint="eastAsia" w:ascii="仿宋_GB2312" w:eastAsia="仿宋_GB2312"/>
          <w:color w:val="000000"/>
          <w:sz w:val="32"/>
          <w:szCs w:val="32"/>
          <w:highlight w:val="none"/>
        </w:rPr>
        <w:t>。国内公务接待</w:t>
      </w:r>
      <w:r>
        <w:rPr>
          <w:rFonts w:hint="eastAsia" w:ascii="仿宋_GB2312" w:eastAsia="仿宋_GB2312"/>
          <w:color w:val="000000"/>
          <w:sz w:val="32"/>
          <w:szCs w:val="32"/>
          <w:highlight w:val="none"/>
          <w:lang w:val="en-US" w:eastAsia="zh-CN"/>
        </w:rPr>
        <w:t>30</w:t>
      </w:r>
      <w:r>
        <w:rPr>
          <w:rFonts w:hint="eastAsia" w:ascii="仿宋_GB2312" w:eastAsia="仿宋_GB2312"/>
          <w:color w:val="000000"/>
          <w:sz w:val="32"/>
          <w:szCs w:val="32"/>
          <w:highlight w:val="none"/>
        </w:rPr>
        <w:t>批次，</w:t>
      </w:r>
      <w:r>
        <w:rPr>
          <w:rFonts w:hint="eastAsia" w:ascii="仿宋_GB2312" w:eastAsia="仿宋_GB2312"/>
          <w:color w:val="000000"/>
          <w:sz w:val="32"/>
          <w:szCs w:val="32"/>
          <w:highlight w:val="none"/>
          <w:lang w:val="en-US" w:eastAsia="zh-CN"/>
        </w:rPr>
        <w:t>155</w:t>
      </w:r>
      <w:r>
        <w:rPr>
          <w:rFonts w:hint="eastAsia" w:ascii="仿宋_GB2312" w:eastAsia="仿宋_GB2312"/>
          <w:color w:val="000000"/>
          <w:sz w:val="32"/>
          <w:szCs w:val="32"/>
          <w:highlight w:val="none"/>
        </w:rPr>
        <w:t>人次（不包括陪同人员），共计支出</w:t>
      </w:r>
      <w:r>
        <w:rPr>
          <w:rFonts w:hint="eastAsia" w:ascii="仿宋_GB2312" w:eastAsia="仿宋_GB2312"/>
          <w:color w:val="000000"/>
          <w:sz w:val="32"/>
          <w:szCs w:val="32"/>
          <w:highlight w:val="none"/>
          <w:lang w:val="en-US" w:eastAsia="zh-CN"/>
        </w:rPr>
        <w:t>3.8</w:t>
      </w:r>
      <w:r>
        <w:rPr>
          <w:rFonts w:hint="eastAsia" w:ascii="仿宋_GB2312" w:eastAsia="仿宋_GB2312"/>
          <w:color w:val="000000"/>
          <w:sz w:val="32"/>
          <w:szCs w:val="32"/>
          <w:highlight w:val="none"/>
        </w:rPr>
        <w:t>万元，具体内容包括</w:t>
      </w:r>
      <w:r>
        <w:rPr>
          <w:rFonts w:hint="eastAsia" w:ascii="仿宋_GB2312" w:eastAsia="仿宋_GB2312"/>
          <w:sz w:val="32"/>
          <w:szCs w:val="32"/>
          <w:highlight w:val="none"/>
        </w:rPr>
        <w:t>上级部门工作检查、上级业务部门案件指导和各县区院交流学习</w:t>
      </w:r>
      <w:r>
        <w:rPr>
          <w:rFonts w:hint="eastAsia" w:ascii="仿宋_GB2312" w:eastAsia="仿宋_GB2312"/>
          <w:sz w:val="32"/>
          <w:szCs w:val="32"/>
          <w:highlight w:val="none"/>
          <w:lang w:eastAsia="zh-CN"/>
        </w:rPr>
        <w:t>事项等。全部</w:t>
      </w:r>
      <w:r>
        <w:rPr>
          <w:rFonts w:hint="eastAsia" w:ascii="仿宋" w:hAnsi="仿宋" w:eastAsia="仿宋"/>
          <w:b w:val="0"/>
          <w:bCs/>
          <w:color w:val="000000"/>
          <w:sz w:val="32"/>
          <w:szCs w:val="32"/>
          <w:lang w:eastAsia="zh-CN"/>
        </w:rPr>
        <w:t>为</w:t>
      </w:r>
      <w:r>
        <w:rPr>
          <w:rFonts w:hint="eastAsia" w:ascii="仿宋" w:hAnsi="仿宋" w:eastAsia="仿宋"/>
          <w:b w:val="0"/>
          <w:bCs/>
          <w:color w:val="000000"/>
          <w:sz w:val="32"/>
          <w:szCs w:val="32"/>
        </w:rPr>
        <w:t>国内公务接待支出</w:t>
      </w:r>
      <w:r>
        <w:rPr>
          <w:rFonts w:hint="eastAsia" w:ascii="仿宋_GB2312" w:eastAsia="仿宋_GB2312"/>
          <w:b w:val="0"/>
          <w:bCs/>
          <w:color w:val="000000"/>
          <w:sz w:val="32"/>
          <w:szCs w:val="32"/>
          <w:lang w:eastAsia="zh-CN"/>
        </w:rPr>
        <w:t>。</w:t>
      </w:r>
    </w:p>
    <w:p>
      <w:pPr>
        <w:spacing w:line="600" w:lineRule="exact"/>
        <w:ind w:firstLine="640"/>
        <w:outlineLvl w:val="1"/>
        <w:rPr>
          <w:rStyle w:val="26"/>
          <w:rFonts w:ascii="黑体" w:hAnsi="黑体" w:eastAsia="黑体"/>
        </w:rPr>
      </w:pPr>
      <w:bookmarkStart w:id="34" w:name="_Toc15396610"/>
      <w:bookmarkStart w:id="35" w:name="_Toc15377218"/>
      <w:r>
        <w:rPr>
          <w:rFonts w:hint="eastAsia" w:ascii="黑体" w:eastAsia="黑体"/>
          <w:color w:val="000000"/>
          <w:sz w:val="32"/>
          <w:szCs w:val="32"/>
        </w:rPr>
        <w:t>八、</w:t>
      </w:r>
      <w:r>
        <w:rPr>
          <w:rStyle w:val="26"/>
          <w:rFonts w:hint="eastAsia" w:ascii="黑体" w:hAnsi="黑体" w:eastAsia="黑体"/>
          <w:b w:val="0"/>
        </w:rPr>
        <w:t>政府性基金预算支出决算情况说明</w:t>
      </w:r>
      <w:bookmarkEnd w:id="34"/>
      <w:bookmarkEnd w:id="35"/>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w:t>
      </w:r>
      <w:r>
        <w:rPr>
          <w:rFonts w:hint="eastAsia" w:ascii="仿宋_GB2312" w:eastAsia="仿宋_GB2312"/>
          <w:color w:val="000000"/>
          <w:sz w:val="32"/>
          <w:szCs w:val="32"/>
          <w:lang w:val="en-US" w:eastAsia="zh-CN"/>
        </w:rPr>
        <w:t>21</w:t>
      </w:r>
      <w:r>
        <w:rPr>
          <w:rFonts w:hint="eastAsia" w:ascii="仿宋_GB2312" w:eastAsia="仿宋_GB2312"/>
          <w:color w:val="000000"/>
          <w:sz w:val="32"/>
          <w:szCs w:val="32"/>
        </w:rPr>
        <w:t>年政府性基金预算拨款支出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p>
    <w:p>
      <w:pPr>
        <w:numPr>
          <w:ilvl w:val="0"/>
          <w:numId w:val="2"/>
        </w:numPr>
        <w:spacing w:line="600" w:lineRule="exact"/>
        <w:ind w:firstLine="640"/>
        <w:outlineLvl w:val="1"/>
        <w:rPr>
          <w:rStyle w:val="26"/>
          <w:rFonts w:ascii="黑体" w:hAnsi="黑体" w:eastAsia="黑体"/>
          <w:b w:val="0"/>
        </w:rPr>
      </w:pPr>
      <w:bookmarkStart w:id="36" w:name="_Toc15377219"/>
      <w:bookmarkStart w:id="37" w:name="_Toc15396611"/>
      <w:r>
        <w:rPr>
          <w:rStyle w:val="26"/>
          <w:rFonts w:hint="eastAsia" w:ascii="黑体" w:hAnsi="黑体" w:eastAsia="黑体"/>
          <w:b w:val="0"/>
        </w:rPr>
        <w:t>国有资本经营预算支出决算情况说明</w:t>
      </w:r>
      <w:bookmarkEnd w:id="36"/>
      <w:bookmarkEnd w:id="37"/>
    </w:p>
    <w:p>
      <w:pPr>
        <w:spacing w:line="600" w:lineRule="exact"/>
        <w:ind w:firstLine="640"/>
        <w:rPr>
          <w:rFonts w:hint="eastAsia" w:ascii="仿宋_GB2312" w:eastAsia="仿宋_GB2312"/>
          <w:color w:val="000000"/>
          <w:sz w:val="32"/>
          <w:szCs w:val="32"/>
        </w:rPr>
      </w:pPr>
      <w:r>
        <w:rPr>
          <w:rFonts w:ascii="仿宋_GB2312" w:eastAsia="仿宋_GB2312"/>
          <w:color w:val="000000"/>
          <w:sz w:val="32"/>
          <w:szCs w:val="32"/>
        </w:rPr>
        <w:t>20</w:t>
      </w:r>
      <w:r>
        <w:rPr>
          <w:rFonts w:hint="eastAsia" w:ascii="仿宋_GB2312" w:eastAsia="仿宋_GB2312"/>
          <w:color w:val="000000"/>
          <w:sz w:val="32"/>
          <w:szCs w:val="32"/>
          <w:lang w:val="en-US" w:eastAsia="zh-CN"/>
        </w:rPr>
        <w:t>21</w:t>
      </w:r>
      <w:r>
        <w:rPr>
          <w:rFonts w:hint="eastAsia" w:ascii="仿宋_GB2312" w:eastAsia="仿宋_GB2312"/>
          <w:color w:val="000000"/>
          <w:sz w:val="32"/>
          <w:szCs w:val="32"/>
        </w:rPr>
        <w:t>年国有资本经营预算拨款支出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p>
    <w:p>
      <w:pPr>
        <w:spacing w:line="600" w:lineRule="exact"/>
        <w:ind w:firstLine="800" w:firstLineChars="250"/>
        <w:outlineLvl w:val="1"/>
        <w:rPr>
          <w:rStyle w:val="26"/>
          <w:rFonts w:ascii="黑体" w:hAnsi="黑体" w:eastAsia="黑体"/>
          <w:highlight w:val="none"/>
        </w:rPr>
      </w:pPr>
      <w:bookmarkStart w:id="38" w:name="_Toc15377221"/>
      <w:bookmarkStart w:id="39" w:name="_Toc15396612"/>
      <w:r>
        <w:rPr>
          <w:rFonts w:hint="eastAsia" w:ascii="黑体" w:hAnsi="黑体" w:eastAsia="黑体"/>
          <w:color w:val="000000"/>
          <w:sz w:val="32"/>
          <w:szCs w:val="32"/>
          <w:highlight w:val="none"/>
        </w:rPr>
        <w:t>十</w:t>
      </w:r>
      <w:r>
        <w:rPr>
          <w:rStyle w:val="26"/>
          <w:rFonts w:hint="eastAsia" w:ascii="黑体" w:hAnsi="黑体" w:eastAsia="黑体"/>
          <w:highlight w:val="none"/>
        </w:rPr>
        <w:t>、</w:t>
      </w:r>
      <w:r>
        <w:rPr>
          <w:rStyle w:val="26"/>
          <w:rFonts w:hint="eastAsia" w:ascii="黑体" w:hAnsi="黑体" w:eastAsia="黑体"/>
          <w:b w:val="0"/>
          <w:highlight w:val="none"/>
        </w:rPr>
        <w:t>其他重要事项的情况说明</w:t>
      </w:r>
      <w:bookmarkEnd w:id="38"/>
      <w:bookmarkEnd w:id="39"/>
    </w:p>
    <w:p>
      <w:pPr>
        <w:spacing w:line="600" w:lineRule="exact"/>
        <w:ind w:firstLine="640" w:firstLineChars="200"/>
        <w:outlineLvl w:val="2"/>
        <w:rPr>
          <w:rFonts w:ascii="仿宋" w:hAnsi="仿宋" w:eastAsia="仿宋"/>
          <w:color w:val="000000"/>
          <w:sz w:val="32"/>
          <w:szCs w:val="32"/>
          <w:highlight w:val="none"/>
        </w:rPr>
      </w:pPr>
      <w:bookmarkStart w:id="40" w:name="_Toc15377222"/>
      <w:r>
        <w:rPr>
          <w:rFonts w:hint="eastAsia" w:ascii="仿宋" w:hAnsi="仿宋" w:eastAsia="仿宋"/>
          <w:b/>
          <w:color w:val="000000"/>
          <w:sz w:val="32"/>
          <w:szCs w:val="32"/>
          <w:highlight w:val="none"/>
        </w:rPr>
        <w:t>（一）机关运行经费支出情况</w:t>
      </w:r>
      <w:bookmarkEnd w:id="40"/>
    </w:p>
    <w:p>
      <w:pPr>
        <w:spacing w:line="600" w:lineRule="exact"/>
        <w:ind w:firstLine="640" w:firstLineChars="200"/>
        <w:rPr>
          <w:rFonts w:hint="eastAsia" w:ascii="仿宋_GB2312" w:eastAsia="仿宋_GB2312"/>
          <w:color w:val="000000" w:themeColor="text1"/>
          <w:sz w:val="32"/>
          <w:szCs w:val="32"/>
          <w:highlight w:val="lightGray"/>
          <w:lang w:eastAsia="zh-CN"/>
          <w14:textFill>
            <w14:solidFill>
              <w14:schemeClr w14:val="tx1"/>
            </w14:solidFill>
          </w14:textFill>
        </w:rPr>
      </w:pPr>
      <w:r>
        <w:rPr>
          <w:rFonts w:ascii="仿宋_GB2312" w:eastAsia="仿宋_GB2312"/>
          <w:color w:val="000000"/>
          <w:sz w:val="32"/>
          <w:szCs w:val="32"/>
          <w:highlight w:val="none"/>
        </w:rPr>
        <w:t>20</w:t>
      </w:r>
      <w:r>
        <w:rPr>
          <w:rFonts w:hint="eastAsia" w:ascii="仿宋_GB2312" w:eastAsia="仿宋_GB2312"/>
          <w:color w:val="000000"/>
          <w:sz w:val="32"/>
          <w:szCs w:val="32"/>
          <w:highlight w:val="none"/>
          <w:lang w:val="en-US" w:eastAsia="zh-CN"/>
        </w:rPr>
        <w:t>21</w:t>
      </w:r>
      <w:r>
        <w:rPr>
          <w:rFonts w:hint="eastAsia" w:ascii="仿宋_GB2312" w:eastAsia="仿宋_GB2312"/>
          <w:color w:val="000000"/>
          <w:sz w:val="32"/>
          <w:szCs w:val="32"/>
          <w:highlight w:val="none"/>
        </w:rPr>
        <w:t>年，</w:t>
      </w:r>
      <w:r>
        <w:rPr>
          <w:rFonts w:hint="eastAsia" w:ascii="仿宋_GB2312" w:eastAsia="仿宋_GB2312"/>
          <w:color w:val="000000"/>
          <w:sz w:val="32"/>
          <w:szCs w:val="32"/>
          <w:highlight w:val="none"/>
          <w:lang w:eastAsia="zh-CN"/>
        </w:rPr>
        <w:t>我院</w:t>
      </w:r>
      <w:r>
        <w:rPr>
          <w:rFonts w:hint="eastAsia" w:ascii="仿宋_GB2312" w:eastAsia="仿宋_GB2312"/>
          <w:color w:val="000000"/>
          <w:sz w:val="32"/>
          <w:szCs w:val="32"/>
          <w:highlight w:val="none"/>
        </w:rPr>
        <w:t>机关运行经费支出</w:t>
      </w:r>
      <w:r>
        <w:rPr>
          <w:rFonts w:hint="eastAsia" w:ascii="仿宋" w:hAnsi="仿宋" w:eastAsia="仿宋"/>
          <w:color w:val="000000"/>
          <w:sz w:val="32"/>
          <w:szCs w:val="32"/>
          <w:lang w:val="en-US" w:eastAsia="zh-CN"/>
        </w:rPr>
        <w:t>103.2</w:t>
      </w:r>
      <w:r>
        <w:rPr>
          <w:rFonts w:hint="eastAsia" w:ascii="仿宋_GB2312" w:eastAsia="仿宋_GB2312"/>
          <w:color w:val="000000"/>
          <w:sz w:val="32"/>
          <w:szCs w:val="32"/>
          <w:highlight w:val="none"/>
        </w:rPr>
        <w:t>万元，比</w:t>
      </w:r>
      <w:r>
        <w:rPr>
          <w:rFonts w:ascii="仿宋_GB2312" w:eastAsia="仿宋_GB2312"/>
          <w:color w:val="000000"/>
          <w:sz w:val="32"/>
          <w:szCs w:val="32"/>
          <w:highlight w:val="none"/>
        </w:rPr>
        <w:t>20</w:t>
      </w:r>
      <w:r>
        <w:rPr>
          <w:rFonts w:hint="eastAsia" w:ascii="仿宋_GB2312" w:eastAsia="仿宋_GB2312"/>
          <w:color w:val="000000"/>
          <w:sz w:val="32"/>
          <w:szCs w:val="32"/>
          <w:highlight w:val="none"/>
          <w:lang w:val="en-US" w:eastAsia="zh-CN"/>
        </w:rPr>
        <w:t>20</w:t>
      </w:r>
      <w:r>
        <w:rPr>
          <w:rFonts w:hint="eastAsia" w:ascii="仿宋_GB2312" w:eastAsia="仿宋_GB2312"/>
          <w:color w:val="000000"/>
          <w:sz w:val="32"/>
          <w:szCs w:val="32"/>
          <w:highlight w:val="none"/>
        </w:rPr>
        <w:t>年减少</w:t>
      </w:r>
      <w:r>
        <w:rPr>
          <w:rFonts w:hint="eastAsia" w:ascii="仿宋_GB2312" w:eastAsia="仿宋_GB2312"/>
          <w:color w:val="000000"/>
          <w:sz w:val="32"/>
          <w:szCs w:val="32"/>
          <w:highlight w:val="none"/>
          <w:lang w:val="en-US" w:eastAsia="zh-CN"/>
        </w:rPr>
        <w:t>59.1</w:t>
      </w:r>
      <w:r>
        <w:rPr>
          <w:rFonts w:hint="eastAsia" w:ascii="仿宋_GB2312" w:eastAsia="仿宋_GB2312"/>
          <w:color w:val="000000"/>
          <w:sz w:val="32"/>
          <w:szCs w:val="32"/>
          <w:highlight w:val="none"/>
        </w:rPr>
        <w:t>万元，下降</w:t>
      </w:r>
      <w:r>
        <w:rPr>
          <w:rFonts w:hint="eastAsia" w:ascii="仿宋_GB2312" w:eastAsia="仿宋_GB2312"/>
          <w:color w:val="000000"/>
          <w:sz w:val="32"/>
          <w:szCs w:val="32"/>
          <w:highlight w:val="none"/>
          <w:lang w:val="en-US" w:eastAsia="zh-CN"/>
        </w:rPr>
        <w:t>36.9</w:t>
      </w:r>
      <w:r>
        <w:rPr>
          <w:rFonts w:ascii="仿宋_GB2312" w:eastAsia="仿宋_GB2312"/>
          <w:color w:val="000000"/>
          <w:sz w:val="32"/>
          <w:szCs w:val="32"/>
          <w:highlight w:val="none"/>
        </w:rPr>
        <w:t>%</w:t>
      </w:r>
      <w:r>
        <w:rPr>
          <w:rFonts w:hint="eastAsia" w:ascii="仿宋_GB2312" w:eastAsia="仿宋_GB2312"/>
          <w:color w:val="000000"/>
          <w:sz w:val="32"/>
          <w:szCs w:val="32"/>
          <w:highlight w:val="none"/>
        </w:rPr>
        <w:t>。</w:t>
      </w:r>
      <w:r>
        <w:rPr>
          <w:rFonts w:hint="eastAsia" w:ascii="仿宋_GB2312" w:eastAsia="仿宋_GB2312"/>
          <w:color w:val="000000" w:themeColor="text1"/>
          <w:sz w:val="32"/>
          <w:szCs w:val="32"/>
          <w:highlight w:val="none"/>
          <w14:textFill>
            <w14:solidFill>
              <w14:schemeClr w14:val="tx1"/>
            </w14:solidFill>
          </w14:textFill>
        </w:rPr>
        <w:t>主要原因是</w:t>
      </w:r>
      <w:r>
        <w:rPr>
          <w:rFonts w:hint="eastAsia" w:ascii="仿宋_GB2312" w:eastAsia="仿宋_GB2312"/>
          <w:color w:val="000000" w:themeColor="text1"/>
          <w:sz w:val="32"/>
          <w:szCs w:val="32"/>
          <w:highlight w:val="none"/>
          <w:lang w:eastAsia="zh-CN"/>
          <w14:textFill>
            <w14:solidFill>
              <w14:schemeClr w14:val="tx1"/>
            </w14:solidFill>
          </w14:textFill>
        </w:rPr>
        <w:t>因疫情期间非办案业务出差减少，导致公用经费中差旅费支出减少。</w:t>
      </w:r>
    </w:p>
    <w:p>
      <w:pPr>
        <w:autoSpaceDE w:val="0"/>
        <w:autoSpaceDN w:val="0"/>
        <w:adjustRightInd w:val="0"/>
        <w:spacing w:line="600" w:lineRule="exact"/>
        <w:ind w:firstLine="640" w:firstLineChars="200"/>
        <w:jc w:val="left"/>
        <w:outlineLvl w:val="2"/>
        <w:rPr>
          <w:rFonts w:ascii="仿宋" w:hAnsi="仿宋" w:eastAsia="仿宋"/>
          <w:b/>
          <w:color w:val="000000"/>
          <w:sz w:val="32"/>
          <w:szCs w:val="32"/>
          <w:highlight w:val="none"/>
        </w:rPr>
      </w:pPr>
      <w:bookmarkStart w:id="41" w:name="_Toc15377223"/>
      <w:r>
        <w:rPr>
          <w:rFonts w:hint="eastAsia" w:ascii="仿宋" w:hAnsi="仿宋" w:eastAsia="仿宋"/>
          <w:b/>
          <w:color w:val="000000"/>
          <w:sz w:val="32"/>
          <w:szCs w:val="32"/>
          <w:highlight w:val="none"/>
        </w:rPr>
        <w:t>（二）政府采购支出情况</w:t>
      </w:r>
      <w:bookmarkEnd w:id="41"/>
    </w:p>
    <w:p>
      <w:pPr>
        <w:spacing w:line="600" w:lineRule="exact"/>
        <w:ind w:firstLine="640" w:firstLineChars="200"/>
        <w:rPr>
          <w:rFonts w:ascii="仿宋_GB2312" w:eastAsia="仿宋_GB2312"/>
          <w:color w:val="000000"/>
          <w:sz w:val="32"/>
          <w:szCs w:val="32"/>
          <w:highlight w:val="none"/>
        </w:rPr>
      </w:pPr>
      <w:r>
        <w:rPr>
          <w:rFonts w:ascii="仿宋_GB2312" w:eastAsia="仿宋_GB2312"/>
          <w:color w:val="000000"/>
          <w:sz w:val="32"/>
          <w:szCs w:val="32"/>
          <w:highlight w:val="none"/>
        </w:rPr>
        <w:t>20</w:t>
      </w:r>
      <w:r>
        <w:rPr>
          <w:rFonts w:hint="eastAsia" w:ascii="仿宋_GB2312" w:eastAsia="仿宋_GB2312"/>
          <w:color w:val="000000"/>
          <w:sz w:val="32"/>
          <w:szCs w:val="32"/>
          <w:highlight w:val="none"/>
          <w:lang w:val="en-US" w:eastAsia="zh-CN"/>
        </w:rPr>
        <w:t>21</w:t>
      </w:r>
      <w:r>
        <w:rPr>
          <w:rFonts w:hint="eastAsia" w:ascii="仿宋_GB2312" w:eastAsia="仿宋_GB2312"/>
          <w:color w:val="000000"/>
          <w:sz w:val="32"/>
          <w:szCs w:val="32"/>
          <w:highlight w:val="none"/>
        </w:rPr>
        <w:t>年，</w:t>
      </w:r>
      <w:r>
        <w:rPr>
          <w:rFonts w:hint="eastAsia" w:ascii="仿宋_GB2312" w:eastAsia="仿宋_GB2312"/>
          <w:color w:val="000000"/>
          <w:sz w:val="32"/>
          <w:szCs w:val="32"/>
          <w:highlight w:val="none"/>
          <w:lang w:eastAsia="zh-CN"/>
        </w:rPr>
        <w:t>我院</w:t>
      </w:r>
      <w:r>
        <w:rPr>
          <w:rFonts w:hint="eastAsia" w:ascii="仿宋_GB2312" w:eastAsia="仿宋_GB2312"/>
          <w:color w:val="000000"/>
          <w:sz w:val="32"/>
          <w:szCs w:val="32"/>
          <w:highlight w:val="none"/>
        </w:rPr>
        <w:t>政府采购支出总额</w:t>
      </w:r>
      <w:r>
        <w:rPr>
          <w:rFonts w:hint="eastAsia" w:ascii="仿宋_GB2312" w:eastAsia="仿宋_GB2312"/>
          <w:color w:val="000000"/>
          <w:sz w:val="32"/>
          <w:szCs w:val="32"/>
          <w:highlight w:val="none"/>
          <w:lang w:val="en-US" w:eastAsia="zh-CN"/>
        </w:rPr>
        <w:t>76</w:t>
      </w:r>
      <w:r>
        <w:rPr>
          <w:rFonts w:hint="eastAsia" w:ascii="仿宋_GB2312" w:eastAsia="仿宋_GB2312"/>
          <w:color w:val="000000"/>
          <w:sz w:val="32"/>
          <w:szCs w:val="32"/>
          <w:highlight w:val="none"/>
        </w:rPr>
        <w:t>万元，其中：政府采购</w:t>
      </w:r>
      <w:r>
        <w:rPr>
          <w:rFonts w:hint="eastAsia" w:ascii="仿宋_GB2312" w:eastAsia="仿宋_GB2312"/>
          <w:color w:val="000000"/>
          <w:sz w:val="32"/>
          <w:szCs w:val="32"/>
          <w:highlight w:val="none"/>
          <w:lang w:eastAsia="zh-CN"/>
        </w:rPr>
        <w:t>货物</w:t>
      </w:r>
      <w:r>
        <w:rPr>
          <w:rFonts w:hint="eastAsia" w:ascii="仿宋_GB2312" w:eastAsia="仿宋_GB2312"/>
          <w:color w:val="000000"/>
          <w:sz w:val="32"/>
          <w:szCs w:val="32"/>
          <w:highlight w:val="none"/>
        </w:rPr>
        <w:t>支出</w:t>
      </w:r>
      <w:r>
        <w:rPr>
          <w:rFonts w:hint="eastAsia" w:ascii="仿宋_GB2312" w:eastAsia="仿宋_GB2312"/>
          <w:color w:val="000000"/>
          <w:sz w:val="32"/>
          <w:szCs w:val="32"/>
          <w:highlight w:val="none"/>
          <w:lang w:val="en-US" w:eastAsia="zh-CN"/>
        </w:rPr>
        <w:t>76</w:t>
      </w:r>
      <w:r>
        <w:rPr>
          <w:rFonts w:hint="eastAsia" w:ascii="仿宋_GB2312" w:eastAsia="仿宋_GB2312"/>
          <w:color w:val="000000"/>
          <w:sz w:val="32"/>
          <w:szCs w:val="32"/>
          <w:highlight w:val="none"/>
        </w:rPr>
        <w:t>万元、政府采购工程支出</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万元、政府采购服务支出</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万元。主要用于办案办公设备采购</w:t>
      </w:r>
      <w:r>
        <w:rPr>
          <w:rFonts w:hint="eastAsia" w:ascii="仿宋_GB2312" w:eastAsia="仿宋_GB2312"/>
          <w:color w:val="000000"/>
          <w:sz w:val="32"/>
          <w:szCs w:val="32"/>
          <w:highlight w:val="none"/>
          <w:lang w:eastAsia="zh-CN"/>
        </w:rPr>
        <w:t>、信息网络及软件购置更新</w:t>
      </w:r>
      <w:r>
        <w:rPr>
          <w:rFonts w:hint="eastAsia" w:ascii="仿宋_GB2312" w:eastAsia="仿宋_GB2312"/>
          <w:color w:val="000000"/>
          <w:sz w:val="32"/>
          <w:szCs w:val="32"/>
          <w:highlight w:val="none"/>
        </w:rPr>
        <w:t>。</w:t>
      </w:r>
    </w:p>
    <w:p>
      <w:pPr>
        <w:autoSpaceDE w:val="0"/>
        <w:autoSpaceDN w:val="0"/>
        <w:adjustRightInd w:val="0"/>
        <w:spacing w:line="600" w:lineRule="exact"/>
        <w:ind w:firstLine="640" w:firstLineChars="200"/>
        <w:jc w:val="left"/>
        <w:outlineLvl w:val="2"/>
        <w:rPr>
          <w:rFonts w:ascii="仿宋" w:hAnsi="仿宋" w:eastAsia="仿宋"/>
          <w:b/>
          <w:color w:val="000000"/>
          <w:sz w:val="32"/>
          <w:szCs w:val="32"/>
          <w:highlight w:val="none"/>
        </w:rPr>
      </w:pPr>
      <w:bookmarkStart w:id="42" w:name="_Toc15377224"/>
      <w:r>
        <w:rPr>
          <w:rFonts w:hint="eastAsia" w:ascii="仿宋" w:hAnsi="仿宋" w:eastAsia="仿宋"/>
          <w:b/>
          <w:color w:val="000000"/>
          <w:sz w:val="32"/>
          <w:szCs w:val="32"/>
          <w:highlight w:val="none"/>
        </w:rPr>
        <w:t>（三）国有资产占有使用情况</w:t>
      </w:r>
      <w:bookmarkEnd w:id="42"/>
    </w:p>
    <w:p>
      <w:pPr>
        <w:autoSpaceDE w:val="0"/>
        <w:autoSpaceDN w:val="0"/>
        <w:adjustRightInd w:val="0"/>
        <w:spacing w:line="600" w:lineRule="exact"/>
        <w:ind w:firstLine="640" w:firstLineChars="200"/>
        <w:jc w:val="left"/>
        <w:rPr>
          <w:rFonts w:hint="eastAsia" w:ascii="仿宋_GB2312" w:eastAsia="仿宋_GB2312"/>
          <w:color w:val="000000"/>
          <w:sz w:val="32"/>
          <w:szCs w:val="32"/>
          <w:highlight w:val="lightGray"/>
          <w:lang w:eastAsia="zh-CN"/>
        </w:rPr>
      </w:pPr>
      <w:r>
        <w:rPr>
          <w:rFonts w:hint="eastAsia" w:ascii="仿宋_GB2312" w:eastAsia="仿宋_GB2312"/>
          <w:color w:val="000000"/>
          <w:sz w:val="32"/>
          <w:szCs w:val="32"/>
          <w:highlight w:val="none"/>
        </w:rPr>
        <w:t>截至</w:t>
      </w:r>
      <w:r>
        <w:rPr>
          <w:rFonts w:ascii="仿宋_GB2312" w:eastAsia="仿宋_GB2312"/>
          <w:color w:val="000000"/>
          <w:sz w:val="32"/>
          <w:szCs w:val="32"/>
          <w:highlight w:val="none"/>
        </w:rPr>
        <w:t>20</w:t>
      </w:r>
      <w:r>
        <w:rPr>
          <w:rFonts w:hint="eastAsia" w:ascii="仿宋_GB2312" w:eastAsia="仿宋_GB2312"/>
          <w:color w:val="000000"/>
          <w:sz w:val="32"/>
          <w:szCs w:val="32"/>
          <w:highlight w:val="none"/>
          <w:lang w:val="en-US" w:eastAsia="zh-CN"/>
        </w:rPr>
        <w:t>21</w:t>
      </w:r>
      <w:r>
        <w:rPr>
          <w:rFonts w:hint="eastAsia" w:ascii="仿宋_GB2312" w:eastAsia="仿宋_GB2312"/>
          <w:color w:val="000000"/>
          <w:sz w:val="32"/>
          <w:szCs w:val="32"/>
          <w:highlight w:val="none"/>
        </w:rPr>
        <w:t>年</w:t>
      </w:r>
      <w:r>
        <w:rPr>
          <w:rFonts w:ascii="仿宋_GB2312" w:eastAsia="仿宋_GB2312"/>
          <w:color w:val="000000"/>
          <w:sz w:val="32"/>
          <w:szCs w:val="32"/>
          <w:highlight w:val="none"/>
        </w:rPr>
        <w:t>12</w:t>
      </w:r>
      <w:r>
        <w:rPr>
          <w:rFonts w:hint="eastAsia" w:ascii="仿宋_GB2312" w:eastAsia="仿宋_GB2312"/>
          <w:color w:val="000000"/>
          <w:sz w:val="32"/>
          <w:szCs w:val="32"/>
          <w:highlight w:val="none"/>
        </w:rPr>
        <w:t>月</w:t>
      </w:r>
      <w:r>
        <w:rPr>
          <w:rFonts w:ascii="仿宋_GB2312" w:eastAsia="仿宋_GB2312"/>
          <w:color w:val="000000"/>
          <w:sz w:val="32"/>
          <w:szCs w:val="32"/>
          <w:highlight w:val="none"/>
        </w:rPr>
        <w:t>31</w:t>
      </w:r>
      <w:r>
        <w:rPr>
          <w:rFonts w:hint="eastAsia" w:ascii="仿宋_GB2312" w:eastAsia="仿宋_GB2312"/>
          <w:color w:val="000000"/>
          <w:sz w:val="32"/>
          <w:szCs w:val="32"/>
          <w:highlight w:val="none"/>
        </w:rPr>
        <w:t>日，</w:t>
      </w:r>
      <w:r>
        <w:rPr>
          <w:rFonts w:hint="eastAsia" w:ascii="仿宋_GB2312" w:eastAsia="仿宋_GB2312"/>
          <w:color w:val="000000"/>
          <w:sz w:val="32"/>
          <w:szCs w:val="32"/>
          <w:highlight w:val="none"/>
          <w:lang w:eastAsia="zh-CN"/>
        </w:rPr>
        <w:t>我院</w:t>
      </w:r>
      <w:r>
        <w:rPr>
          <w:rFonts w:hint="eastAsia" w:ascii="仿宋_GB2312" w:eastAsia="仿宋_GB2312"/>
          <w:color w:val="000000"/>
          <w:sz w:val="32"/>
          <w:szCs w:val="32"/>
          <w:highlight w:val="none"/>
        </w:rPr>
        <w:t>共有车辆</w:t>
      </w:r>
      <w:r>
        <w:rPr>
          <w:rFonts w:hint="eastAsia" w:ascii="仿宋_GB2312" w:eastAsia="仿宋_GB2312"/>
          <w:color w:val="000000"/>
          <w:sz w:val="32"/>
          <w:szCs w:val="32"/>
          <w:highlight w:val="none"/>
          <w:lang w:val="en-US" w:eastAsia="zh-CN"/>
        </w:rPr>
        <w:t>5</w:t>
      </w:r>
      <w:r>
        <w:rPr>
          <w:rFonts w:hint="eastAsia" w:ascii="仿宋_GB2312" w:eastAsia="仿宋_GB2312"/>
          <w:color w:val="000000"/>
          <w:sz w:val="32"/>
          <w:szCs w:val="32"/>
          <w:highlight w:val="none"/>
        </w:rPr>
        <w:t>辆，其中：部级领导干部用车</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辆、一般公务用车</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辆、一般执法执勤用车</w:t>
      </w:r>
      <w:r>
        <w:rPr>
          <w:rFonts w:hint="eastAsia" w:ascii="仿宋_GB2312" w:eastAsia="仿宋_GB2312"/>
          <w:color w:val="000000"/>
          <w:sz w:val="32"/>
          <w:szCs w:val="32"/>
          <w:highlight w:val="none"/>
          <w:lang w:val="en-US" w:eastAsia="zh-CN"/>
        </w:rPr>
        <w:t>5</w:t>
      </w:r>
      <w:r>
        <w:rPr>
          <w:rFonts w:hint="eastAsia" w:ascii="仿宋_GB2312" w:eastAsia="仿宋_GB2312"/>
          <w:color w:val="000000"/>
          <w:sz w:val="32"/>
          <w:szCs w:val="32"/>
          <w:highlight w:val="none"/>
        </w:rPr>
        <w:t>辆</w:t>
      </w:r>
      <w:r>
        <w:rPr>
          <w:rFonts w:hint="eastAsia" w:ascii="仿宋_GB2312" w:eastAsia="仿宋_GB2312"/>
          <w:color w:val="000000"/>
          <w:sz w:val="32"/>
          <w:szCs w:val="32"/>
          <w:highlight w:val="none"/>
          <w:lang w:eastAsia="zh-CN"/>
        </w:rPr>
        <w:t>，</w:t>
      </w:r>
      <w:r>
        <w:rPr>
          <w:rFonts w:hint="eastAsia" w:ascii="仿宋_GB2312" w:eastAsia="仿宋_GB2312"/>
          <w:color w:val="000000"/>
          <w:sz w:val="32"/>
          <w:szCs w:val="32"/>
          <w:highlight w:val="none"/>
          <w:lang w:val="en-US" w:eastAsia="zh-CN"/>
        </w:rPr>
        <w:t>报废</w:t>
      </w:r>
      <w:r>
        <w:rPr>
          <w:rFonts w:hint="eastAsia" w:ascii="仿宋_GB2312" w:eastAsia="仿宋_GB2312"/>
          <w:color w:val="000000"/>
          <w:sz w:val="32"/>
          <w:szCs w:val="32"/>
          <w:highlight w:val="none"/>
        </w:rPr>
        <w:t>特种专业技术用车</w:t>
      </w:r>
      <w:r>
        <w:rPr>
          <w:rFonts w:hint="eastAsia" w:ascii="仿宋_GB2312" w:eastAsia="仿宋_GB2312"/>
          <w:color w:val="000000"/>
          <w:sz w:val="32"/>
          <w:szCs w:val="32"/>
          <w:highlight w:val="none"/>
          <w:lang w:val="en-US" w:eastAsia="zh-CN"/>
        </w:rPr>
        <w:t>1</w:t>
      </w:r>
      <w:r>
        <w:rPr>
          <w:rFonts w:hint="eastAsia" w:ascii="仿宋_GB2312" w:eastAsia="仿宋_GB2312"/>
          <w:color w:val="000000"/>
          <w:sz w:val="32"/>
          <w:szCs w:val="32"/>
          <w:highlight w:val="none"/>
        </w:rPr>
        <w:t>辆。</w:t>
      </w:r>
    </w:p>
    <w:p>
      <w:pPr>
        <w:autoSpaceDE w:val="0"/>
        <w:autoSpaceDN w:val="0"/>
        <w:adjustRightInd w:val="0"/>
        <w:spacing w:line="600" w:lineRule="exact"/>
        <w:ind w:firstLine="640" w:firstLineChars="200"/>
        <w:jc w:val="left"/>
        <w:outlineLvl w:val="2"/>
        <w:rPr>
          <w:rFonts w:ascii="仿宋" w:hAnsi="仿宋" w:eastAsia="仿宋"/>
          <w:b/>
          <w:color w:val="000000"/>
          <w:sz w:val="32"/>
          <w:szCs w:val="32"/>
        </w:rPr>
      </w:pPr>
      <w:r>
        <w:rPr>
          <w:rFonts w:hint="eastAsia" w:ascii="仿宋" w:hAnsi="仿宋" w:eastAsia="仿宋"/>
          <w:b/>
          <w:color w:val="000000"/>
          <w:sz w:val="32"/>
          <w:szCs w:val="32"/>
        </w:rPr>
        <w:t>（四）预算绩效管理情况。</w:t>
      </w:r>
    </w:p>
    <w:p>
      <w:pPr>
        <w:numPr>
          <w:ilvl w:val="0"/>
          <w:numId w:val="0"/>
        </w:numPr>
        <w:spacing w:line="580" w:lineRule="exact"/>
        <w:ind w:firstLine="640" w:firstLineChars="200"/>
        <w:rPr>
          <w:rFonts w:hint="eastAsia" w:ascii="方正小标宋简体" w:hAnsi="方正小标宋简体" w:eastAsia="方正小标宋简体" w:cs="方正小标宋简体"/>
          <w:sz w:val="44"/>
          <w:szCs w:val="44"/>
          <w:lang w:eastAsia="zh-CN"/>
        </w:rPr>
      </w:pPr>
      <w:r>
        <w:rPr>
          <w:rFonts w:hint="eastAsia" w:ascii="仿宋_GB2312" w:hAnsi="仿宋_GB2312" w:eastAsia="仿宋_GB2312" w:cs="仿宋_GB2312"/>
          <w:sz w:val="32"/>
          <w:szCs w:val="32"/>
        </w:rPr>
        <w:t>根据预算绩效管理要求，本部门（单位）在年初预算编制阶段，组织对</w:t>
      </w:r>
      <w:r>
        <w:rPr>
          <w:rFonts w:hint="eastAsia" w:ascii="仿宋_GB2312" w:hAnsi="仿宋_GB2312" w:eastAsia="仿宋_GB2312" w:cs="仿宋_GB2312"/>
          <w:sz w:val="32"/>
          <w:szCs w:val="32"/>
          <w:highlight w:val="none"/>
          <w:lang w:eastAsia="zh-CN"/>
        </w:rPr>
        <w:t>我院</w:t>
      </w:r>
      <w:r>
        <w:rPr>
          <w:rFonts w:hint="eastAsia" w:ascii="仿宋_GB2312" w:hAnsi="仿宋_GB2312" w:eastAsia="仿宋_GB2312" w:cs="仿宋_GB2312"/>
          <w:sz w:val="32"/>
          <w:szCs w:val="32"/>
        </w:rPr>
        <w:t>项目开展了预算事前绩效评估，</w:t>
      </w:r>
      <w:r>
        <w:rPr>
          <w:rFonts w:hint="eastAsia" w:ascii="仿宋_GB2312" w:hAnsi="仿宋_GB2312" w:eastAsia="仿宋_GB2312" w:cs="仿宋_GB2312"/>
          <w:sz w:val="32"/>
          <w:szCs w:val="32"/>
          <w:highlight w:val="none"/>
          <w:lang w:eastAsia="zh-CN"/>
        </w:rPr>
        <w:t>我院</w:t>
      </w:r>
      <w:r>
        <w:rPr>
          <w:rFonts w:hint="eastAsia" w:ascii="仿宋_GB2312" w:hAnsi="仿宋_GB2312" w:eastAsia="仿宋_GB2312" w:cs="仿宋_GB2312"/>
          <w:sz w:val="32"/>
          <w:szCs w:val="32"/>
          <w:highlight w:val="none"/>
        </w:rPr>
        <w:t>按要求对20</w:t>
      </w:r>
      <w:r>
        <w:rPr>
          <w:rFonts w:hint="eastAsia" w:ascii="仿宋_GB2312" w:hAnsi="仿宋_GB2312" w:eastAsia="仿宋_GB2312" w:cs="仿宋_GB2312"/>
          <w:sz w:val="32"/>
          <w:szCs w:val="32"/>
          <w:highlight w:val="none"/>
          <w:lang w:val="en-US" w:eastAsia="zh-CN"/>
        </w:rPr>
        <w:t>21</w:t>
      </w:r>
      <w:r>
        <w:rPr>
          <w:rFonts w:hint="eastAsia" w:ascii="仿宋_GB2312" w:hAnsi="仿宋_GB2312" w:eastAsia="仿宋_GB2312" w:cs="仿宋_GB2312"/>
          <w:sz w:val="32"/>
          <w:szCs w:val="32"/>
          <w:highlight w:val="none"/>
        </w:rPr>
        <w:t>年</w:t>
      </w:r>
      <w:r>
        <w:rPr>
          <w:rFonts w:hint="eastAsia" w:ascii="仿宋_GB2312" w:hAnsi="仿宋_GB2312" w:eastAsia="仿宋_GB2312" w:cs="仿宋_GB2312"/>
          <w:sz w:val="32"/>
          <w:szCs w:val="32"/>
          <w:highlight w:val="none"/>
          <w:lang w:val="en-US" w:eastAsia="zh-CN"/>
        </w:rPr>
        <w:t>整体</w:t>
      </w:r>
      <w:r>
        <w:rPr>
          <w:rFonts w:hint="eastAsia" w:ascii="仿宋_GB2312" w:hAnsi="仿宋_GB2312" w:eastAsia="仿宋_GB2312" w:cs="仿宋_GB2312"/>
          <w:sz w:val="32"/>
          <w:szCs w:val="32"/>
          <w:highlight w:val="none"/>
        </w:rPr>
        <w:t>支出开展绩效自评，从评价情况来看</w:t>
      </w:r>
      <w:r>
        <w:rPr>
          <w:rFonts w:hint="eastAsia" w:ascii="仿宋" w:hAnsi="仿宋" w:eastAsia="仿宋" w:cs="仿宋"/>
          <w:color w:val="000000"/>
          <w:spacing w:val="0"/>
          <w:kern w:val="2"/>
          <w:sz w:val="32"/>
          <w:szCs w:val="32"/>
          <w:highlight w:val="none"/>
          <w:lang w:val="en-US" w:eastAsia="zh-CN" w:bidi="zh-CN"/>
        </w:rPr>
        <w:t>整体绩效评价较好，能够按照预算管理相关要求，科学编制预算，严格执行预算，预算资金与年初目标任务相适应，资金用途明确，使用规范合理，能够为完成目标任务提供资金保障，维护了国家和人民的利益。</w:t>
      </w:r>
    </w:p>
    <w:p>
      <w:pPr>
        <w:widowControl/>
        <w:jc w:val="center"/>
        <w:rPr>
          <w:rFonts w:hint="eastAsia" w:ascii="黑体" w:hAnsi="黑体" w:eastAsia="黑体"/>
          <w:b/>
          <w:color w:val="000000"/>
          <w:sz w:val="44"/>
          <w:szCs w:val="44"/>
        </w:rPr>
      </w:pPr>
      <w:r>
        <w:rPr>
          <w:rFonts w:ascii="仿宋_GB2312" w:eastAsia="仿宋_GB2312"/>
          <w:b/>
          <w:color w:val="000000"/>
          <w:sz w:val="32"/>
          <w:szCs w:val="32"/>
          <w:highlight w:val="lightGray"/>
        </w:rPr>
        <w:br w:type="page"/>
      </w:r>
      <w:bookmarkStart w:id="43" w:name="_Toc15396613"/>
      <w:bookmarkStart w:id="44" w:name="_Toc15377225"/>
      <w:r>
        <w:rPr>
          <w:rFonts w:hint="eastAsia" w:ascii="黑体" w:hAnsi="黑体" w:eastAsia="黑体"/>
          <w:b/>
          <w:color w:val="000000"/>
          <w:sz w:val="44"/>
          <w:szCs w:val="44"/>
          <w:lang w:eastAsia="zh-CN"/>
        </w:rPr>
        <w:t>第三部分</w:t>
      </w:r>
      <w:r>
        <w:rPr>
          <w:rFonts w:hint="eastAsia" w:ascii="黑体" w:hAnsi="黑体" w:eastAsia="黑体"/>
          <w:b/>
          <w:color w:val="000000"/>
          <w:sz w:val="44"/>
          <w:szCs w:val="44"/>
          <w:lang w:val="en-US" w:eastAsia="zh-CN"/>
        </w:rPr>
        <w:t xml:space="preserve"> </w:t>
      </w:r>
      <w:r>
        <w:rPr>
          <w:rFonts w:hint="eastAsia" w:ascii="黑体" w:hAnsi="黑体" w:eastAsia="黑体"/>
          <w:b/>
          <w:color w:val="000000"/>
          <w:sz w:val="44"/>
          <w:szCs w:val="44"/>
        </w:rPr>
        <w:t>名词解释</w:t>
      </w:r>
      <w:bookmarkEnd w:id="43"/>
      <w:bookmarkEnd w:id="44"/>
    </w:p>
    <w:p>
      <w:pPr>
        <w:bidi w:val="0"/>
        <w:ind w:firstLine="640" w:firstLineChars="20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1.财政拨款收入：指单位从同级财政部门取得的财政预算资金。</w:t>
      </w:r>
    </w:p>
    <w:p>
      <w:pPr>
        <w:bidi w:val="0"/>
        <w:ind w:firstLine="640" w:firstLineChars="20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2.</w:t>
      </w:r>
      <w:r>
        <w:rPr>
          <w:rFonts w:hint="default" w:ascii="仿宋_GB2312" w:hAnsi="Calibri" w:eastAsia="仿宋_GB2312" w:cs="仿宋"/>
          <w:color w:val="000000"/>
          <w:kern w:val="0"/>
          <w:sz w:val="32"/>
          <w:szCs w:val="32"/>
          <w:lang w:val="en-US" w:eastAsia="zh-CN" w:bidi="ar-SA"/>
        </w:rPr>
        <w:t>事业收入：指事业单位开展专业业务活动及辅助活动取得的收入。</w:t>
      </w:r>
    </w:p>
    <w:p>
      <w:pPr>
        <w:bidi w:val="0"/>
        <w:ind w:firstLine="640" w:firstLineChars="20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3.</w:t>
      </w:r>
      <w:r>
        <w:rPr>
          <w:rFonts w:hint="default" w:ascii="仿宋_GB2312" w:hAnsi="Calibri" w:eastAsia="仿宋_GB2312" w:cs="仿宋"/>
          <w:color w:val="000000"/>
          <w:kern w:val="0"/>
          <w:sz w:val="32"/>
          <w:szCs w:val="32"/>
          <w:lang w:val="en-US" w:eastAsia="zh-CN" w:bidi="ar-SA"/>
        </w:rPr>
        <w:t>经营收入：指事业单位在专业业务活动及其辅助活动之外开展非独立核算经营活动取得的收入。</w:t>
      </w:r>
    </w:p>
    <w:p>
      <w:pPr>
        <w:bidi w:val="0"/>
        <w:ind w:firstLine="640" w:firstLineChars="20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4.</w:t>
      </w:r>
      <w:r>
        <w:rPr>
          <w:rFonts w:hint="default" w:ascii="仿宋_GB2312" w:hAnsi="Calibri" w:eastAsia="仿宋_GB2312" w:cs="仿宋"/>
          <w:color w:val="000000"/>
          <w:kern w:val="0"/>
          <w:sz w:val="32"/>
          <w:szCs w:val="32"/>
          <w:lang w:val="en-US" w:eastAsia="zh-CN" w:bidi="ar-SA"/>
        </w:rPr>
        <w:t>其他收入：指单位取得的除上述收入以外的各项收入。</w:t>
      </w:r>
    </w:p>
    <w:p>
      <w:pPr>
        <w:bidi w:val="0"/>
        <w:ind w:firstLine="640" w:firstLineChars="20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5.</w:t>
      </w:r>
      <w:r>
        <w:rPr>
          <w:rFonts w:hint="default" w:ascii="仿宋_GB2312" w:hAnsi="Calibri" w:eastAsia="仿宋_GB2312" w:cs="仿宋"/>
          <w:color w:val="000000"/>
          <w:kern w:val="0"/>
          <w:sz w:val="32"/>
          <w:szCs w:val="32"/>
          <w:lang w:val="en-US" w:eastAsia="zh-CN" w:bidi="ar-SA"/>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pPr>
        <w:bidi w:val="0"/>
        <w:ind w:firstLine="640" w:firstLineChars="20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6.</w:t>
      </w:r>
      <w:r>
        <w:rPr>
          <w:rFonts w:hint="default" w:ascii="仿宋_GB2312" w:hAnsi="Calibri" w:eastAsia="仿宋_GB2312" w:cs="仿宋"/>
          <w:color w:val="000000"/>
          <w:kern w:val="0"/>
          <w:sz w:val="32"/>
          <w:szCs w:val="32"/>
          <w:lang w:val="en-US" w:eastAsia="zh-CN" w:bidi="ar-SA"/>
        </w:rPr>
        <w:t>年初结转和结余：指以前年度尚未完成、结转到本年按有关规定继续使用的资金。</w:t>
      </w:r>
    </w:p>
    <w:p>
      <w:pPr>
        <w:bidi w:val="0"/>
        <w:ind w:firstLine="640" w:firstLineChars="20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7.</w:t>
      </w:r>
      <w:r>
        <w:rPr>
          <w:rFonts w:hint="default" w:ascii="仿宋_GB2312" w:hAnsi="Calibri" w:eastAsia="仿宋_GB2312" w:cs="仿宋"/>
          <w:color w:val="000000"/>
          <w:kern w:val="0"/>
          <w:sz w:val="32"/>
          <w:szCs w:val="32"/>
          <w:lang w:val="en-US" w:eastAsia="zh-CN" w:bidi="ar-SA"/>
        </w:rPr>
        <w:t>结余分配：指事业单位按照事业单位会计制度的规定从非财政补助结余中分配的事业基金和职工福利基金等。</w:t>
      </w:r>
    </w:p>
    <w:p>
      <w:pPr>
        <w:bidi w:val="0"/>
        <w:ind w:firstLine="640" w:firstLineChars="200"/>
        <w:rPr>
          <w:rFonts w:ascii="宋体"/>
          <w:b/>
          <w:color w:val="000000"/>
          <w:sz w:val="44"/>
          <w:szCs w:val="44"/>
        </w:rPr>
      </w:pPr>
      <w:r>
        <w:rPr>
          <w:rFonts w:hint="eastAsia" w:ascii="仿宋_GB2312" w:hAnsi="Calibri" w:eastAsia="仿宋_GB2312" w:cs="仿宋"/>
          <w:color w:val="000000"/>
          <w:kern w:val="0"/>
          <w:sz w:val="32"/>
          <w:szCs w:val="32"/>
          <w:lang w:val="en-US" w:eastAsia="zh-CN" w:bidi="ar-SA"/>
        </w:rPr>
        <w:t>8</w:t>
      </w:r>
      <w:r>
        <w:rPr>
          <w:rFonts w:hint="default" w:ascii="仿宋_GB2312" w:hAnsi="Calibri" w:eastAsia="仿宋_GB2312" w:cs="仿宋"/>
          <w:color w:val="000000"/>
          <w:kern w:val="0"/>
          <w:sz w:val="32"/>
          <w:szCs w:val="32"/>
          <w:lang w:val="en-US" w:eastAsia="zh-CN" w:bidi="ar-SA"/>
        </w:rPr>
        <w:t>、年末结转和结余：指单位按有关规定结转到下年或以后年度继续使用的资金。</w:t>
      </w:r>
    </w:p>
    <w:p>
      <w:pPr>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9</w:t>
      </w:r>
      <w:r>
        <w:rPr>
          <w:rFonts w:ascii="仿宋_GB2312" w:eastAsia="仿宋_GB2312"/>
          <w:color w:val="000000"/>
          <w:sz w:val="32"/>
          <w:szCs w:val="32"/>
        </w:rPr>
        <w:t>.</w:t>
      </w:r>
      <w:r>
        <w:rPr>
          <w:rFonts w:hint="eastAsia" w:ascii="仿宋_GB2312" w:eastAsia="仿宋_GB2312"/>
          <w:color w:val="000000"/>
          <w:sz w:val="32"/>
          <w:szCs w:val="32"/>
        </w:rPr>
        <w:t>公共安全</w:t>
      </w:r>
      <w:r>
        <w:rPr>
          <w:rFonts w:hint="eastAsia" w:ascii="仿宋_GB2312" w:eastAsia="仿宋_GB2312"/>
          <w:color w:val="000000"/>
          <w:sz w:val="32"/>
          <w:szCs w:val="32"/>
          <w:lang w:eastAsia="zh-CN"/>
        </w:rPr>
        <w:t>支出</w:t>
      </w:r>
      <w:r>
        <w:rPr>
          <w:rFonts w:hint="eastAsia" w:ascii="仿宋_GB2312" w:eastAsia="仿宋_GB2312"/>
          <w:color w:val="000000"/>
          <w:sz w:val="32"/>
          <w:szCs w:val="32"/>
        </w:rPr>
        <w:t>：指</w:t>
      </w:r>
      <w:r>
        <w:rPr>
          <w:rFonts w:hint="eastAsia" w:ascii="仿宋_GB2312" w:eastAsia="仿宋_GB2312"/>
          <w:color w:val="000000"/>
          <w:sz w:val="32"/>
          <w:szCs w:val="32"/>
          <w:lang w:eastAsia="zh-CN"/>
        </w:rPr>
        <w:t>政府维护社会公共安全方面的支出</w:t>
      </w:r>
      <w:r>
        <w:rPr>
          <w:rFonts w:hint="eastAsia" w:ascii="仿宋_GB2312" w:eastAsia="仿宋_GB2312"/>
          <w:color w:val="000000"/>
          <w:sz w:val="32"/>
          <w:szCs w:val="32"/>
        </w:rPr>
        <w:t>。</w:t>
      </w:r>
    </w:p>
    <w:p>
      <w:pPr>
        <w:pStyle w:val="2"/>
        <w:bidi w:val="0"/>
        <w:ind w:firstLine="640" w:firstLineChars="200"/>
        <w:rPr>
          <w:rFonts w:hint="default" w:ascii="仿宋_GB2312" w:hAnsi="Calibri" w:eastAsia="仿宋_GB2312" w:cs="仿宋"/>
          <w:color w:val="000000"/>
          <w:kern w:val="0"/>
          <w:sz w:val="32"/>
          <w:szCs w:val="32"/>
          <w:lang w:val="en-US" w:eastAsia="zh-CN" w:bidi="ar-SA"/>
        </w:rPr>
      </w:pPr>
      <w:r>
        <w:rPr>
          <w:rFonts w:hint="default" w:ascii="仿宋_GB2312" w:hAnsi="Calibri" w:eastAsia="仿宋_GB2312" w:cs="仿宋"/>
          <w:color w:val="000000"/>
          <w:kern w:val="0"/>
          <w:sz w:val="32"/>
          <w:szCs w:val="32"/>
          <w:lang w:val="en-US" w:eastAsia="zh-CN" w:bidi="ar-SA"/>
        </w:rPr>
        <w:t>1</w:t>
      </w:r>
      <w:r>
        <w:rPr>
          <w:rFonts w:hint="eastAsia" w:hAnsi="Calibri" w:cs="仿宋"/>
          <w:color w:val="000000"/>
          <w:kern w:val="0"/>
          <w:sz w:val="32"/>
          <w:szCs w:val="32"/>
          <w:lang w:val="en-US" w:eastAsia="zh-CN" w:bidi="ar-SA"/>
        </w:rPr>
        <w:t>0</w:t>
      </w:r>
      <w:r>
        <w:rPr>
          <w:rFonts w:hint="default" w:ascii="仿宋_GB2312" w:hAnsi="Calibri" w:eastAsia="仿宋_GB2312" w:cs="仿宋"/>
          <w:color w:val="000000"/>
          <w:kern w:val="0"/>
          <w:sz w:val="32"/>
          <w:szCs w:val="32"/>
          <w:lang w:val="en-US" w:eastAsia="zh-CN" w:bidi="ar-SA"/>
        </w:rPr>
        <w:t>.</w:t>
      </w:r>
      <w:r>
        <w:rPr>
          <w:rFonts w:hint="eastAsia" w:ascii="仿宋_GB2312" w:hAnsi="Calibri" w:eastAsia="仿宋_GB2312" w:cs="仿宋"/>
          <w:color w:val="000000"/>
          <w:kern w:val="0"/>
          <w:sz w:val="32"/>
          <w:szCs w:val="32"/>
          <w:lang w:val="en-US" w:eastAsia="zh-CN" w:bidi="ar-SA"/>
        </w:rPr>
        <w:t> </w:t>
      </w:r>
      <w:r>
        <w:rPr>
          <w:rFonts w:hint="default" w:ascii="仿宋_GB2312" w:hAnsi="Calibri" w:eastAsia="仿宋_GB2312" w:cs="仿宋"/>
          <w:color w:val="000000"/>
          <w:kern w:val="0"/>
          <w:sz w:val="32"/>
          <w:szCs w:val="32"/>
          <w:lang w:val="en-US" w:eastAsia="zh-CN" w:bidi="ar-SA"/>
        </w:rPr>
        <w:t>社会保障和就业支出（类）行政事业单位离退休（款）机关事业单位基本养老保险缴费支出（项）：指机关事业单位实施养老保险制度由单位缴纳的基本养老保险费支出。</w:t>
      </w:r>
    </w:p>
    <w:p>
      <w:pPr>
        <w:pStyle w:val="2"/>
        <w:bidi w:val="0"/>
        <w:ind w:firstLine="640" w:firstLineChars="200"/>
        <w:rPr>
          <w:rFonts w:hint="default"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1</w:t>
      </w:r>
      <w:r>
        <w:rPr>
          <w:rFonts w:hint="eastAsia" w:hAnsi="Calibri" w:cs="仿宋"/>
          <w:color w:val="000000"/>
          <w:kern w:val="0"/>
          <w:sz w:val="32"/>
          <w:szCs w:val="32"/>
          <w:lang w:val="en-US" w:eastAsia="zh-CN" w:bidi="ar-SA"/>
        </w:rPr>
        <w:t>1</w:t>
      </w:r>
      <w:r>
        <w:rPr>
          <w:rFonts w:hint="eastAsia" w:ascii="仿宋_GB2312" w:hAnsi="Calibri" w:eastAsia="仿宋_GB2312" w:cs="仿宋"/>
          <w:color w:val="000000"/>
          <w:kern w:val="0"/>
          <w:sz w:val="32"/>
          <w:szCs w:val="32"/>
          <w:lang w:val="en-US" w:eastAsia="zh-CN" w:bidi="ar-SA"/>
        </w:rPr>
        <w:t>. </w:t>
      </w:r>
      <w:r>
        <w:rPr>
          <w:rFonts w:hint="default" w:ascii="仿宋_GB2312" w:hAnsi="Calibri" w:eastAsia="仿宋_GB2312" w:cs="仿宋"/>
          <w:color w:val="000000"/>
          <w:kern w:val="0"/>
          <w:sz w:val="32"/>
          <w:szCs w:val="32"/>
          <w:lang w:val="en-US" w:eastAsia="zh-CN" w:bidi="ar-SA"/>
        </w:rPr>
        <w:t>社会保障和就业支出（类）财政对其他社会保险基金的补助（款）财政对失业保险基金的补助（项）：指财政对失业保险基金的补助支出。</w:t>
      </w:r>
    </w:p>
    <w:p>
      <w:pPr>
        <w:pStyle w:val="2"/>
        <w:bidi w:val="0"/>
        <w:ind w:firstLine="640" w:firstLineChars="200"/>
        <w:rPr>
          <w:rFonts w:hint="default"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1</w:t>
      </w:r>
      <w:r>
        <w:rPr>
          <w:rFonts w:hint="eastAsia" w:hAnsi="Calibri" w:cs="仿宋"/>
          <w:color w:val="000000"/>
          <w:kern w:val="0"/>
          <w:sz w:val="32"/>
          <w:szCs w:val="32"/>
          <w:lang w:val="en-US" w:eastAsia="zh-CN" w:bidi="ar-SA"/>
        </w:rPr>
        <w:t>2</w:t>
      </w:r>
      <w:r>
        <w:rPr>
          <w:rFonts w:hint="eastAsia" w:ascii="仿宋_GB2312" w:hAnsi="Calibri" w:eastAsia="仿宋_GB2312" w:cs="仿宋"/>
          <w:color w:val="000000"/>
          <w:kern w:val="0"/>
          <w:sz w:val="32"/>
          <w:szCs w:val="32"/>
          <w:lang w:val="en-US" w:eastAsia="zh-CN" w:bidi="ar-SA"/>
        </w:rPr>
        <w:t>.</w:t>
      </w:r>
      <w:r>
        <w:rPr>
          <w:rFonts w:hint="default" w:ascii="仿宋_GB2312" w:hAnsi="Calibri" w:eastAsia="仿宋_GB2312" w:cs="仿宋"/>
          <w:color w:val="000000"/>
          <w:kern w:val="0"/>
          <w:sz w:val="32"/>
          <w:szCs w:val="32"/>
          <w:lang w:val="en-US" w:eastAsia="zh-CN" w:bidi="ar-SA"/>
        </w:rPr>
        <w:t>社会保障和就业支出（类）财政对其他社会保险基金的补助（款）财政对工伤保险基金的补助（项）：指财政对工伤保险基金的补助支出。</w:t>
      </w:r>
    </w:p>
    <w:p>
      <w:pPr>
        <w:pStyle w:val="2"/>
        <w:bidi w:val="0"/>
        <w:ind w:firstLine="640" w:firstLineChars="200"/>
        <w:rPr>
          <w:rFonts w:hint="default"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1</w:t>
      </w:r>
      <w:r>
        <w:rPr>
          <w:rFonts w:hint="eastAsia" w:hAnsi="Calibri" w:cs="仿宋"/>
          <w:color w:val="000000"/>
          <w:kern w:val="0"/>
          <w:sz w:val="32"/>
          <w:szCs w:val="32"/>
          <w:lang w:val="en-US" w:eastAsia="zh-CN" w:bidi="ar-SA"/>
        </w:rPr>
        <w:t>3</w:t>
      </w:r>
      <w:r>
        <w:rPr>
          <w:rFonts w:hint="eastAsia" w:ascii="仿宋_GB2312" w:hAnsi="Calibri" w:eastAsia="仿宋_GB2312" w:cs="仿宋"/>
          <w:color w:val="000000"/>
          <w:kern w:val="0"/>
          <w:sz w:val="32"/>
          <w:szCs w:val="32"/>
          <w:lang w:val="en-US" w:eastAsia="zh-CN" w:bidi="ar-SA"/>
        </w:rPr>
        <w:t>.</w:t>
      </w:r>
      <w:r>
        <w:rPr>
          <w:rFonts w:hint="default" w:ascii="仿宋_GB2312" w:hAnsi="Calibri" w:eastAsia="仿宋_GB2312" w:cs="仿宋"/>
          <w:color w:val="000000"/>
          <w:kern w:val="0"/>
          <w:sz w:val="32"/>
          <w:szCs w:val="32"/>
          <w:lang w:val="en-US" w:eastAsia="zh-CN" w:bidi="ar-SA"/>
        </w:rPr>
        <w:t>社会保障和就业支出（类）财政对其他社会保险基金的补助（款）财政对生育保险基金的补助（项）：指财政对生育保险基金的补助支出。</w:t>
      </w:r>
    </w:p>
    <w:p>
      <w:pPr>
        <w:pStyle w:val="2"/>
        <w:bidi w:val="0"/>
        <w:ind w:firstLine="640" w:firstLineChars="200"/>
        <w:rPr>
          <w:rFonts w:hint="default"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1</w:t>
      </w:r>
      <w:r>
        <w:rPr>
          <w:rFonts w:hint="eastAsia" w:hAnsi="Calibri" w:cs="仿宋"/>
          <w:color w:val="000000"/>
          <w:kern w:val="0"/>
          <w:sz w:val="32"/>
          <w:szCs w:val="32"/>
          <w:lang w:val="en-US" w:eastAsia="zh-CN" w:bidi="ar-SA"/>
        </w:rPr>
        <w:t>4</w:t>
      </w:r>
      <w:r>
        <w:rPr>
          <w:rFonts w:hint="eastAsia" w:ascii="仿宋_GB2312" w:hAnsi="Calibri" w:eastAsia="仿宋_GB2312" w:cs="仿宋"/>
          <w:color w:val="000000"/>
          <w:kern w:val="0"/>
          <w:sz w:val="32"/>
          <w:szCs w:val="32"/>
          <w:lang w:val="en-US" w:eastAsia="zh-CN" w:bidi="ar-SA"/>
        </w:rPr>
        <w:t>.</w:t>
      </w:r>
      <w:r>
        <w:rPr>
          <w:rFonts w:hint="default" w:ascii="仿宋_GB2312" w:hAnsi="Calibri" w:eastAsia="仿宋_GB2312" w:cs="仿宋"/>
          <w:color w:val="000000"/>
          <w:kern w:val="0"/>
          <w:sz w:val="32"/>
          <w:szCs w:val="32"/>
          <w:lang w:val="en-US" w:eastAsia="zh-CN" w:bidi="ar-SA"/>
        </w:rPr>
        <w:t>卫生健康支出（类）行政事业单位医疗（款）行政单位医疗（项）：指财政部门安排的行政单位（包括实行公务员管理的事业单位）基本医疗保险缴费经费，未参加医疗保险的行政单位的公费医疗经费，按国家规定享受离休人员、红军老战士待遇人员的医疗经费。</w:t>
      </w:r>
    </w:p>
    <w:p>
      <w:pPr>
        <w:pStyle w:val="2"/>
        <w:bidi w:val="0"/>
        <w:ind w:firstLine="640" w:firstLineChars="200"/>
        <w:rPr>
          <w:rFonts w:hint="default"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1</w:t>
      </w:r>
      <w:r>
        <w:rPr>
          <w:rFonts w:hint="eastAsia" w:hAnsi="Calibri" w:cs="仿宋"/>
          <w:color w:val="000000"/>
          <w:kern w:val="0"/>
          <w:sz w:val="32"/>
          <w:szCs w:val="32"/>
          <w:lang w:val="en-US" w:eastAsia="zh-CN" w:bidi="ar-SA"/>
        </w:rPr>
        <w:t>5</w:t>
      </w:r>
      <w:r>
        <w:rPr>
          <w:rFonts w:hint="eastAsia" w:ascii="仿宋_GB2312" w:hAnsi="Calibri" w:eastAsia="仿宋_GB2312" w:cs="仿宋"/>
          <w:color w:val="000000"/>
          <w:kern w:val="0"/>
          <w:sz w:val="32"/>
          <w:szCs w:val="32"/>
          <w:lang w:val="en-US" w:eastAsia="zh-CN" w:bidi="ar-SA"/>
        </w:rPr>
        <w:t>.卫生健康支出</w:t>
      </w:r>
      <w:r>
        <w:rPr>
          <w:rFonts w:hint="default" w:ascii="仿宋_GB2312" w:hAnsi="Calibri" w:eastAsia="仿宋_GB2312" w:cs="仿宋"/>
          <w:color w:val="000000"/>
          <w:kern w:val="0"/>
          <w:sz w:val="32"/>
          <w:szCs w:val="32"/>
          <w:lang w:val="en-US" w:eastAsia="zh-CN" w:bidi="ar-SA"/>
        </w:rPr>
        <w:t>（类）行政事业单位医疗（款）事业单位医疗（项）：指财政部门安排的事业单位基本医疗保险缴费经费，未参加医疗保险的事业单位的公费医疗经费，按国家规定享受离休人员待遇人员的医疗经费。</w:t>
      </w:r>
    </w:p>
    <w:p>
      <w:pPr>
        <w:pStyle w:val="2"/>
        <w:bidi w:val="0"/>
        <w:ind w:firstLine="640" w:firstLineChars="200"/>
        <w:rPr>
          <w:rFonts w:hint="default"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1</w:t>
      </w:r>
      <w:r>
        <w:rPr>
          <w:rFonts w:hint="eastAsia" w:hAnsi="Calibri" w:cs="仿宋"/>
          <w:color w:val="000000"/>
          <w:kern w:val="0"/>
          <w:sz w:val="32"/>
          <w:szCs w:val="32"/>
          <w:lang w:val="en-US" w:eastAsia="zh-CN" w:bidi="ar-SA"/>
        </w:rPr>
        <w:t>6</w:t>
      </w:r>
      <w:r>
        <w:rPr>
          <w:rFonts w:hint="eastAsia" w:ascii="仿宋_GB2312" w:hAnsi="Calibri" w:eastAsia="仿宋_GB2312" w:cs="仿宋"/>
          <w:color w:val="000000"/>
          <w:kern w:val="0"/>
          <w:sz w:val="32"/>
          <w:szCs w:val="32"/>
          <w:lang w:val="en-US" w:eastAsia="zh-CN" w:bidi="ar-SA"/>
        </w:rPr>
        <w:t>.卫生健康支出</w:t>
      </w:r>
      <w:r>
        <w:rPr>
          <w:rFonts w:hint="default" w:ascii="仿宋_GB2312" w:hAnsi="Calibri" w:eastAsia="仿宋_GB2312" w:cs="仿宋"/>
          <w:color w:val="000000"/>
          <w:kern w:val="0"/>
          <w:sz w:val="32"/>
          <w:szCs w:val="32"/>
          <w:lang w:val="en-US" w:eastAsia="zh-CN" w:bidi="ar-SA"/>
        </w:rPr>
        <w:t>（类）行政事业单位医疗（款）公务员医疗补助（项）：指财政部门安排的公务员医疗补助经费。</w:t>
      </w:r>
    </w:p>
    <w:p>
      <w:pPr>
        <w:pStyle w:val="2"/>
        <w:bidi w:val="0"/>
        <w:ind w:firstLine="640" w:firstLineChars="200"/>
        <w:rPr>
          <w:rFonts w:hint="default"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1</w:t>
      </w:r>
      <w:r>
        <w:rPr>
          <w:rFonts w:hint="eastAsia" w:hAnsi="Calibri" w:cs="仿宋"/>
          <w:color w:val="000000"/>
          <w:kern w:val="0"/>
          <w:sz w:val="32"/>
          <w:szCs w:val="32"/>
          <w:lang w:val="en-US" w:eastAsia="zh-CN" w:bidi="ar-SA"/>
        </w:rPr>
        <w:t>7</w:t>
      </w:r>
      <w:r>
        <w:rPr>
          <w:rFonts w:hint="eastAsia" w:ascii="仿宋_GB2312" w:hAnsi="Calibri" w:eastAsia="仿宋_GB2312" w:cs="仿宋"/>
          <w:color w:val="000000"/>
          <w:kern w:val="0"/>
          <w:sz w:val="32"/>
          <w:szCs w:val="32"/>
          <w:lang w:val="en-US" w:eastAsia="zh-CN" w:bidi="ar-SA"/>
        </w:rPr>
        <w:t>.住房保障支出</w:t>
      </w:r>
      <w:r>
        <w:rPr>
          <w:rFonts w:hint="default" w:ascii="仿宋_GB2312" w:hAnsi="Calibri" w:eastAsia="仿宋_GB2312" w:cs="仿宋"/>
          <w:color w:val="000000"/>
          <w:kern w:val="0"/>
          <w:sz w:val="32"/>
          <w:szCs w:val="32"/>
          <w:lang w:val="en-US" w:eastAsia="zh-CN" w:bidi="ar-SA"/>
        </w:rPr>
        <w:t>（类）住房改革支出（款）住房公积金（项）：指行政事业单位按人力资源和社会保障部、财政部规定的基本工资和津补贴以及规定比例为职工缴纳的住房公积金。</w:t>
      </w:r>
    </w:p>
    <w:p>
      <w:pPr>
        <w:spacing w:line="600" w:lineRule="exact"/>
        <w:ind w:firstLine="640"/>
        <w:rPr>
          <w:rFonts w:ascii="仿宋" w:hAnsi="仿宋" w:eastAsia="仿宋"/>
          <w:b/>
          <w:color w:val="000000"/>
          <w:sz w:val="32"/>
          <w:szCs w:val="32"/>
        </w:rPr>
      </w:pPr>
      <w:r>
        <w:rPr>
          <w:rFonts w:hint="eastAsia" w:ascii="仿宋" w:hAnsi="仿宋" w:eastAsia="仿宋"/>
          <w:b/>
          <w:color w:val="000000"/>
          <w:sz w:val="32"/>
          <w:szCs w:val="32"/>
        </w:rPr>
        <w:t>（解释本部门决算报表中全部功能分类科目至项级，请参照《</w:t>
      </w:r>
      <w:r>
        <w:rPr>
          <w:rFonts w:ascii="仿宋" w:hAnsi="仿宋" w:eastAsia="仿宋"/>
          <w:b/>
          <w:color w:val="000000"/>
          <w:sz w:val="32"/>
          <w:szCs w:val="32"/>
        </w:rPr>
        <w:t>20</w:t>
      </w:r>
      <w:r>
        <w:rPr>
          <w:rFonts w:hint="eastAsia" w:ascii="仿宋" w:hAnsi="仿宋" w:eastAsia="仿宋"/>
          <w:b/>
          <w:color w:val="000000"/>
          <w:sz w:val="32"/>
          <w:szCs w:val="32"/>
          <w:lang w:val="en-US" w:eastAsia="zh-CN"/>
        </w:rPr>
        <w:t>21</w:t>
      </w:r>
      <w:r>
        <w:rPr>
          <w:rFonts w:hint="eastAsia" w:ascii="仿宋" w:hAnsi="仿宋" w:eastAsia="仿宋"/>
          <w:b/>
          <w:color w:val="000000"/>
          <w:sz w:val="32"/>
          <w:szCs w:val="32"/>
        </w:rPr>
        <w:t>年政府收支分类科目》增减内容。）</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w:t>
      </w:r>
      <w:r>
        <w:rPr>
          <w:rFonts w:hint="eastAsia" w:ascii="仿宋_GB2312" w:eastAsia="仿宋_GB2312"/>
          <w:color w:val="000000"/>
          <w:sz w:val="32"/>
          <w:szCs w:val="32"/>
          <w:lang w:val="en-US" w:eastAsia="zh-CN"/>
        </w:rPr>
        <w:t>8</w:t>
      </w:r>
      <w:r>
        <w:rPr>
          <w:rFonts w:ascii="仿宋_GB2312" w:eastAsia="仿宋_GB2312"/>
          <w:color w:val="000000"/>
          <w:sz w:val="32"/>
          <w:szCs w:val="32"/>
        </w:rPr>
        <w:t>.</w:t>
      </w:r>
      <w:r>
        <w:rPr>
          <w:rFonts w:hint="eastAsia" w:ascii="仿宋_GB2312" w:eastAsia="仿宋_GB2312"/>
          <w:color w:val="000000"/>
          <w:sz w:val="32"/>
          <w:szCs w:val="32"/>
        </w:rPr>
        <w:t>基本支出：指为保障机构正常运转、完成日常工作任务而发生的人员支出和公用支出。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w:t>
      </w:r>
      <w:r>
        <w:rPr>
          <w:rFonts w:hint="eastAsia" w:ascii="仿宋_GB2312" w:eastAsia="仿宋_GB2312"/>
          <w:color w:val="000000"/>
          <w:sz w:val="32"/>
          <w:szCs w:val="32"/>
          <w:lang w:val="en-US" w:eastAsia="zh-CN"/>
        </w:rPr>
        <w:t>9</w:t>
      </w:r>
      <w:r>
        <w:rPr>
          <w:rFonts w:ascii="仿宋_GB2312" w:eastAsia="仿宋_GB2312"/>
          <w:color w:val="000000"/>
          <w:sz w:val="32"/>
          <w:szCs w:val="32"/>
        </w:rPr>
        <w:t>.</w:t>
      </w:r>
      <w:r>
        <w:rPr>
          <w:rFonts w:hint="eastAsia" w:ascii="仿宋_GB2312" w:eastAsia="仿宋_GB2312"/>
          <w:color w:val="000000"/>
          <w:sz w:val="32"/>
          <w:szCs w:val="32"/>
        </w:rPr>
        <w:t>项目支出：指在基本支出之外为完成特定行政任务和事业发展目标所发生的支出。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20</w:t>
      </w:r>
      <w:r>
        <w:rPr>
          <w:rFonts w:ascii="仿宋_GB2312" w:eastAsia="仿宋_GB2312"/>
          <w:color w:val="000000"/>
          <w:sz w:val="32"/>
          <w:szCs w:val="32"/>
        </w:rPr>
        <w:t>.</w:t>
      </w:r>
      <w:r>
        <w:rPr>
          <w:rFonts w:hint="eastAsia" w:ascii="仿宋_GB2312" w:eastAsia="仿宋_GB2312"/>
          <w:color w:val="000000"/>
          <w:sz w:val="32"/>
          <w:szCs w:val="32"/>
        </w:rPr>
        <w:t>经营支出：指事业单位在专业业务活动及其辅助活动之外开展非独立核算经营活动发生的支出。</w:t>
      </w:r>
    </w:p>
    <w:p>
      <w:pPr>
        <w:pStyle w:val="23"/>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21</w:t>
      </w:r>
      <w:r>
        <w:rPr>
          <w:rFonts w:ascii="仿宋_GB2312" w:eastAsia="仿宋_GB2312"/>
          <w:sz w:val="32"/>
          <w:szCs w:val="32"/>
        </w:rPr>
        <w:t>.</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3"/>
        <w:spacing w:line="560" w:lineRule="exact"/>
        <w:ind w:firstLine="640" w:firstLineChars="200"/>
        <w:rPr>
          <w:rFonts w:ascii="仿宋_GB2312" w:eastAsia="仿宋_GB2312" w:cs="黑体"/>
          <w:sz w:val="32"/>
          <w:szCs w:val="32"/>
        </w:rPr>
      </w:pPr>
      <w:r>
        <w:rPr>
          <w:rFonts w:hint="eastAsia" w:ascii="仿宋_GB2312" w:eastAsia="仿宋_GB2312"/>
          <w:sz w:val="32"/>
          <w:szCs w:val="32"/>
        </w:rPr>
        <w:t>2</w:t>
      </w:r>
      <w:r>
        <w:rPr>
          <w:rFonts w:hint="eastAsia" w:ascii="仿宋_GB2312" w:eastAsia="仿宋_GB2312"/>
          <w:sz w:val="32"/>
          <w:szCs w:val="32"/>
          <w:lang w:val="en-US" w:eastAsia="zh-CN"/>
        </w:rPr>
        <w:t>2</w:t>
      </w:r>
      <w:r>
        <w:rPr>
          <w:rFonts w:ascii="仿宋_GB2312" w:eastAsia="仿宋_GB2312"/>
          <w:sz w:val="32"/>
          <w:szCs w:val="32"/>
        </w:rPr>
        <w:t>.</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rFonts w:ascii="仿宋" w:hAnsi="仿宋" w:eastAsia="仿宋"/>
          <w:b/>
          <w:color w:val="000000"/>
          <w:sz w:val="32"/>
          <w:szCs w:val="32"/>
        </w:rPr>
      </w:pPr>
      <w:r>
        <w:rPr>
          <w:rFonts w:hint="eastAsia" w:ascii="仿宋" w:hAnsi="仿宋" w:eastAsia="仿宋"/>
          <w:b/>
          <w:color w:val="000000"/>
          <w:sz w:val="32"/>
          <w:szCs w:val="32"/>
        </w:rPr>
        <w:t>（名词解释部分请根据各部门实际列支情况罗列，并根据本部门职责职能增减名词解释内容。）</w:t>
      </w:r>
    </w:p>
    <w:p>
      <w:pPr>
        <w:spacing w:line="600" w:lineRule="exact"/>
        <w:jc w:val="center"/>
        <w:outlineLvl w:val="0"/>
        <w:rPr>
          <w:rStyle w:val="25"/>
          <w:rFonts w:ascii="黑体" w:hAnsi="黑体" w:eastAsia="黑体"/>
          <w:b w:val="0"/>
        </w:rPr>
      </w:pPr>
      <w:bookmarkStart w:id="45" w:name="_Toc15377226"/>
      <w:r>
        <w:rPr>
          <w:rFonts w:ascii="宋体"/>
          <w:b/>
          <w:color w:val="000000"/>
          <w:sz w:val="44"/>
          <w:szCs w:val="44"/>
        </w:rPr>
        <w:br w:type="page"/>
      </w:r>
      <w:bookmarkStart w:id="46" w:name="_Toc15396614"/>
      <w:r>
        <w:rPr>
          <w:rFonts w:hint="eastAsia" w:ascii="黑体" w:hAnsi="黑体" w:eastAsia="黑体"/>
          <w:color w:val="000000"/>
          <w:sz w:val="44"/>
          <w:szCs w:val="44"/>
        </w:rPr>
        <w:t>第</w:t>
      </w:r>
      <w:r>
        <w:rPr>
          <w:rStyle w:val="25"/>
          <w:rFonts w:hint="eastAsia" w:ascii="黑体" w:hAnsi="黑体" w:eastAsia="黑体"/>
          <w:b w:val="0"/>
        </w:rPr>
        <w:t>四部分附件</w:t>
      </w:r>
      <w:bookmarkEnd w:id="46"/>
    </w:p>
    <w:p>
      <w:pPr>
        <w:spacing w:line="600" w:lineRule="exact"/>
        <w:jc w:val="center"/>
        <w:outlineLvl w:val="0"/>
        <w:rPr>
          <w:rStyle w:val="25"/>
        </w:rPr>
      </w:pPr>
    </w:p>
    <w:p>
      <w:pPr>
        <w:pStyle w:val="4"/>
        <w:rPr>
          <w:rStyle w:val="25"/>
          <w:rFonts w:ascii="仿宋" w:hAnsi="仿宋" w:eastAsia="仿宋"/>
          <w:b w:val="0"/>
          <w:bCs w:val="0"/>
          <w:sz w:val="32"/>
          <w:szCs w:val="32"/>
          <w:highlight w:val="none"/>
        </w:rPr>
      </w:pPr>
      <w:bookmarkStart w:id="47" w:name="_Toc15396615"/>
      <w:r>
        <w:rPr>
          <w:rStyle w:val="25"/>
          <w:rFonts w:hint="eastAsia" w:ascii="仿宋" w:hAnsi="仿宋" w:eastAsia="仿宋"/>
          <w:b w:val="0"/>
          <w:bCs w:val="0"/>
          <w:sz w:val="32"/>
          <w:szCs w:val="32"/>
          <w:highlight w:val="none"/>
        </w:rPr>
        <w:t>附件1</w:t>
      </w:r>
      <w:bookmarkEnd w:id="47"/>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bookmarkStart w:id="48" w:name="_Toc15396618"/>
      <w:r>
        <w:rPr>
          <w:rFonts w:hint="eastAsia" w:ascii="方正小标宋简体" w:hAnsi="方正小标宋简体" w:eastAsia="方正小标宋简体" w:cs="方正小标宋简体"/>
          <w:sz w:val="44"/>
          <w:szCs w:val="44"/>
          <w:lang w:eastAsia="zh-CN"/>
        </w:rPr>
        <w:t>南江县人民检察院</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2021年整体支出绩效评价报告</w:t>
      </w:r>
    </w:p>
    <w:p>
      <w:pPr>
        <w:pStyle w:val="2"/>
        <w:keepNext w:val="0"/>
        <w:keepLines w:val="0"/>
        <w:pageBreakBefore w:val="0"/>
        <w:widowControl w:val="0"/>
        <w:kinsoku/>
        <w:overflowPunct/>
        <w:topLinePunct w:val="0"/>
        <w:autoSpaceDE/>
        <w:autoSpaceDN/>
        <w:bidi w:val="0"/>
        <w:adjustRightInd/>
        <w:snapToGrid/>
        <w:spacing w:line="560" w:lineRule="exact"/>
        <w:textAlignment w:val="auto"/>
        <w:rPr>
          <w:rFonts w:hint="eastAsia"/>
          <w:lang w:val="en-US" w:eastAsia="zh-CN"/>
        </w:rPr>
      </w:pP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Chars="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部门概况</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Chars="0" w:firstLine="643" w:firstLineChars="200"/>
        <w:jc w:val="both"/>
        <w:textAlignment w:val="auto"/>
        <w:rPr>
          <w:rFonts w:hint="eastAsia" w:ascii="楷体" w:hAnsi="楷体" w:eastAsia="楷体" w:cs="楷体"/>
          <w:b/>
          <w:bCs/>
          <w:color w:val="000000"/>
          <w:spacing w:val="0"/>
          <w:kern w:val="2"/>
          <w:sz w:val="32"/>
          <w:szCs w:val="32"/>
          <w:highlight w:val="none"/>
          <w:lang w:val="en-US" w:eastAsia="zh-CN" w:bidi="zh-CN"/>
        </w:rPr>
      </w:pPr>
      <w:r>
        <w:rPr>
          <w:rFonts w:hint="eastAsia" w:ascii="楷体" w:hAnsi="楷体" w:eastAsia="楷体" w:cs="楷体"/>
          <w:b/>
          <w:bCs/>
          <w:sz w:val="32"/>
          <w:szCs w:val="32"/>
          <w:lang w:val="en-US" w:eastAsia="zh-CN"/>
        </w:rPr>
        <w:t>机构组成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default"/>
          <w:lang w:val="en-US" w:eastAsia="zh-CN"/>
        </w:rPr>
      </w:pPr>
      <w:r>
        <w:rPr>
          <w:rFonts w:hint="eastAsia" w:ascii="仿宋" w:hAnsi="仿宋" w:eastAsia="仿宋" w:cs="仿宋"/>
          <w:color w:val="000000"/>
          <w:spacing w:val="0"/>
          <w:kern w:val="2"/>
          <w:sz w:val="32"/>
          <w:szCs w:val="32"/>
          <w:highlight w:val="none"/>
          <w:lang w:val="en-US" w:eastAsia="zh-CN" w:bidi="zh-CN"/>
        </w:rPr>
        <w:t>南江县人民检察院（本级）是一个独立核算机构，内设5个机构，主要包括办公室、政治部、第一检察部、第二检察部、第三检察部，派驻长赤、光雾山、沙河、赶场、杨坝5个检察室，下设1个事业单位，南江县人民检察院信息中心。</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Chars="0" w:firstLine="643" w:firstLineChars="200"/>
        <w:jc w:val="both"/>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机构职能</w:t>
      </w:r>
    </w:p>
    <w:p>
      <w:pPr>
        <w:keepNext w:val="0"/>
        <w:keepLines w:val="0"/>
        <w:pageBreakBefore w:val="0"/>
        <w:kinsoku/>
        <w:wordWrap/>
        <w:overflowPunct/>
        <w:topLinePunct w:val="0"/>
        <w:bidi w:val="0"/>
        <w:spacing w:line="560" w:lineRule="exact"/>
        <w:ind w:firstLine="630"/>
        <w:textAlignment w:val="auto"/>
        <w:rPr>
          <w:rFonts w:ascii="仿宋" w:hAnsi="仿宋" w:eastAsia="仿宋" w:cs="仿宋_GB2312"/>
          <w:sz w:val="32"/>
          <w:szCs w:val="32"/>
          <w:highlight w:val="none"/>
        </w:rPr>
      </w:pPr>
      <w:r>
        <w:rPr>
          <w:rFonts w:hint="eastAsia" w:ascii="仿宋_GB2312" w:eastAsia="仿宋_GB2312"/>
          <w:color w:val="000000"/>
          <w:sz w:val="32"/>
          <w:szCs w:val="32"/>
          <w:highlight w:val="none"/>
        </w:rPr>
        <w:t>南江县人民检察院</w:t>
      </w:r>
      <w:r>
        <w:rPr>
          <w:rFonts w:hint="eastAsia" w:ascii="仿宋_GB2312" w:eastAsia="仿宋_GB2312"/>
          <w:color w:val="000000"/>
          <w:sz w:val="32"/>
          <w:szCs w:val="32"/>
          <w:highlight w:val="none"/>
          <w:lang w:eastAsia="zh-CN"/>
        </w:rPr>
        <w:t>属</w:t>
      </w:r>
      <w:r>
        <w:rPr>
          <w:rFonts w:hint="eastAsia" w:ascii="仿宋_GB2312" w:eastAsia="仿宋_GB2312"/>
          <w:color w:val="000000"/>
          <w:sz w:val="32"/>
          <w:szCs w:val="32"/>
          <w:highlight w:val="none"/>
        </w:rPr>
        <w:t>国家法律监督机关，按照上级检察院和县委的决策部署，依法履行法律监督职责。</w:t>
      </w:r>
      <w:r>
        <w:rPr>
          <w:rFonts w:hint="eastAsia" w:ascii="仿宋" w:hAnsi="仿宋" w:eastAsia="仿宋"/>
          <w:bCs/>
          <w:color w:val="000000"/>
          <w:sz w:val="32"/>
          <w:szCs w:val="32"/>
          <w:highlight w:val="none"/>
        </w:rPr>
        <w:t>主要任务是通过行使检察权，追诉犯罪，保障人权，维护国家安全和社会秩序，依法监督国家机关及其工作人员行使职权，保障国家法律正确实施，维护社会公共利益，维护社会公平正义，维护国家法制统一、尊严、权威。主要行使下列职权：</w:t>
      </w:r>
      <w:r>
        <w:rPr>
          <w:rFonts w:hint="eastAsia" w:ascii="仿宋_GB2312" w:eastAsia="仿宋_GB2312"/>
          <w:color w:val="000000"/>
          <w:sz w:val="32"/>
          <w:szCs w:val="32"/>
          <w:highlight w:val="none"/>
        </w:rPr>
        <w:t>对依照法律规定由其办理的刑事案件行使侦查权；对刑事案件进行审查，决定是否逮捕犯罪嫌疑人；对侦查终结的刑事案件进行审查，决定是否提起公诉；对刑事、民事、行政诉讼实行法律监督；对刑事、民事、行政判决、裁定等生效法律文书的执行工作实行法律监督；对社区矫正机构、看守所的执法工作实行法律监督；依照法律规定提起公益诉讼；以及法律规定的其他职权。</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Chars="0" w:firstLine="643" w:firstLineChars="200"/>
        <w:jc w:val="both"/>
        <w:textAlignment w:val="auto"/>
        <w:rPr>
          <w:rFonts w:hint="default" w:ascii="楷体" w:hAnsi="楷体" w:eastAsia="楷体" w:cs="楷体"/>
          <w:b/>
          <w:bCs/>
          <w:sz w:val="32"/>
          <w:szCs w:val="32"/>
          <w:lang w:val="en-US" w:eastAsia="zh-CN"/>
        </w:rPr>
      </w:pPr>
      <w:r>
        <w:rPr>
          <w:rFonts w:hint="eastAsia" w:ascii="楷体" w:hAnsi="楷体" w:eastAsia="楷体" w:cs="楷体"/>
          <w:b/>
          <w:bCs/>
          <w:sz w:val="32"/>
          <w:szCs w:val="32"/>
          <w:lang w:val="en-US" w:eastAsia="zh-CN"/>
        </w:rPr>
        <w:t>人员概况</w:t>
      </w:r>
    </w:p>
    <w:p>
      <w:pPr>
        <w:pStyle w:val="2"/>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textAlignment w:val="auto"/>
        <w:rPr>
          <w:rFonts w:hint="default"/>
          <w:lang w:val="en-US" w:eastAsia="zh-CN"/>
        </w:rPr>
      </w:pPr>
      <w:r>
        <w:rPr>
          <w:rFonts w:hint="eastAsia" w:ascii="仿宋" w:hAnsi="仿宋" w:eastAsia="仿宋" w:cs="仿宋"/>
          <w:color w:val="000000"/>
          <w:spacing w:val="0"/>
          <w:kern w:val="2"/>
          <w:sz w:val="32"/>
          <w:szCs w:val="32"/>
          <w:highlight w:val="none"/>
          <w:lang w:val="en-US" w:eastAsia="zh-CN" w:bidi="zh-CN"/>
        </w:rPr>
        <w:t>2021年我院人员编制64人，其中政法编制48人、事业编制5人、机关工勤11人。年终实有人数为59人，其中政法编制人员45人，事业人员5人，机关工勤8人，长赡人员1人。</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黑体" w:hAnsi="黑体" w:eastAsia="黑体" w:cs="黑体"/>
          <w:color w:val="000000"/>
          <w:spacing w:val="0"/>
          <w:kern w:val="2"/>
          <w:sz w:val="32"/>
          <w:szCs w:val="32"/>
          <w:highlight w:val="none"/>
          <w:lang w:val="en-US" w:eastAsia="zh-CN" w:bidi="zh-CN"/>
        </w:rPr>
      </w:pPr>
      <w:r>
        <w:rPr>
          <w:rFonts w:hint="eastAsia" w:ascii="黑体" w:hAnsi="黑体" w:eastAsia="黑体" w:cs="黑体"/>
          <w:color w:val="000000"/>
          <w:spacing w:val="0"/>
          <w:kern w:val="2"/>
          <w:sz w:val="32"/>
          <w:szCs w:val="32"/>
          <w:highlight w:val="none"/>
          <w:lang w:val="en-US" w:eastAsia="zh-CN" w:bidi="zh-CN"/>
        </w:rPr>
        <w:t>部门财政资金收支情况</w:t>
      </w:r>
    </w:p>
    <w:p>
      <w:pPr>
        <w:keepNext w:val="0"/>
        <w:keepLines w:val="0"/>
        <w:pageBreakBefore w:val="0"/>
        <w:widowControl w:val="0"/>
        <w:numPr>
          <w:ilvl w:val="0"/>
          <w:numId w:val="5"/>
        </w:numPr>
        <w:kinsoku/>
        <w:wordWrap/>
        <w:overflowPunct/>
        <w:topLinePunct w:val="0"/>
        <w:autoSpaceDE/>
        <w:autoSpaceDN/>
        <w:bidi w:val="0"/>
        <w:adjustRightInd/>
        <w:snapToGrid/>
        <w:spacing w:line="560" w:lineRule="exact"/>
        <w:ind w:leftChars="0" w:firstLine="643" w:firstLineChars="200"/>
        <w:jc w:val="both"/>
        <w:textAlignment w:val="auto"/>
        <w:rPr>
          <w:rFonts w:hint="eastAsia" w:ascii="楷体" w:hAnsi="楷体" w:eastAsia="楷体" w:cs="楷体"/>
          <w:b/>
          <w:bCs/>
          <w:color w:val="000000"/>
          <w:spacing w:val="0"/>
          <w:kern w:val="2"/>
          <w:sz w:val="32"/>
          <w:szCs w:val="32"/>
          <w:highlight w:val="none"/>
          <w:lang w:val="en-US" w:eastAsia="zh-CN" w:bidi="zh-CN"/>
        </w:rPr>
      </w:pPr>
      <w:r>
        <w:rPr>
          <w:rFonts w:hint="eastAsia" w:ascii="楷体" w:hAnsi="楷体" w:eastAsia="楷体" w:cs="楷体"/>
          <w:b/>
          <w:bCs/>
          <w:color w:val="000000"/>
          <w:spacing w:val="0"/>
          <w:kern w:val="2"/>
          <w:sz w:val="32"/>
          <w:szCs w:val="32"/>
          <w:highlight w:val="none"/>
          <w:lang w:val="en-US" w:eastAsia="zh-CN" w:bidi="zh-CN"/>
        </w:rPr>
        <w:t>部门财政资金收入情况</w:t>
      </w:r>
    </w:p>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textAlignment w:val="auto"/>
        <w:rPr>
          <w:rFonts w:hint="default" w:ascii="仿宋" w:hAnsi="仿宋" w:eastAsia="仿宋" w:cs="仿宋"/>
          <w:color w:val="000000"/>
          <w:spacing w:val="0"/>
          <w:kern w:val="2"/>
          <w:sz w:val="32"/>
          <w:szCs w:val="32"/>
          <w:highlight w:val="none"/>
          <w:lang w:val="en-US" w:eastAsia="zh-CN" w:bidi="zh-CN"/>
        </w:rPr>
      </w:pPr>
      <w:r>
        <w:rPr>
          <w:rFonts w:hint="eastAsia" w:ascii="仿宋" w:hAnsi="仿宋" w:eastAsia="仿宋" w:cs="仿宋"/>
          <w:color w:val="000000"/>
          <w:spacing w:val="0"/>
          <w:kern w:val="2"/>
          <w:sz w:val="32"/>
          <w:szCs w:val="32"/>
          <w:highlight w:val="none"/>
          <w:lang w:val="en-US" w:eastAsia="zh-CN" w:bidi="zh-CN"/>
        </w:rPr>
        <w:t>2021年财政拨款收入16,648,037.44元（其中：财政拨款基本支出：13,764,037.44元；财政拨款项目支出2,884,000.00元），与2020年相比，财政拨款全年收入增加19.7%。</w:t>
      </w:r>
    </w:p>
    <w:p>
      <w:pPr>
        <w:keepNext w:val="0"/>
        <w:keepLines w:val="0"/>
        <w:pageBreakBefore w:val="0"/>
        <w:widowControl w:val="0"/>
        <w:numPr>
          <w:ilvl w:val="0"/>
          <w:numId w:val="5"/>
        </w:numPr>
        <w:kinsoku/>
        <w:wordWrap/>
        <w:overflowPunct/>
        <w:topLinePunct w:val="0"/>
        <w:autoSpaceDE/>
        <w:autoSpaceDN/>
        <w:bidi w:val="0"/>
        <w:adjustRightInd/>
        <w:snapToGrid/>
        <w:spacing w:line="560" w:lineRule="exact"/>
        <w:ind w:leftChars="0" w:firstLine="643" w:firstLineChars="200"/>
        <w:jc w:val="both"/>
        <w:textAlignment w:val="auto"/>
        <w:rPr>
          <w:rFonts w:hint="eastAsia" w:ascii="楷体" w:hAnsi="楷体" w:eastAsia="楷体" w:cs="楷体"/>
          <w:b/>
          <w:bCs/>
          <w:color w:val="000000"/>
          <w:spacing w:val="0"/>
          <w:kern w:val="2"/>
          <w:sz w:val="32"/>
          <w:szCs w:val="32"/>
          <w:highlight w:val="none"/>
          <w:lang w:val="en-US" w:eastAsia="zh-CN" w:bidi="zh-CN"/>
        </w:rPr>
      </w:pPr>
      <w:r>
        <w:rPr>
          <w:rFonts w:hint="eastAsia" w:ascii="楷体" w:hAnsi="楷体" w:eastAsia="楷体" w:cs="楷体"/>
          <w:b/>
          <w:bCs/>
          <w:color w:val="000000"/>
          <w:spacing w:val="0"/>
          <w:kern w:val="2"/>
          <w:sz w:val="32"/>
          <w:szCs w:val="32"/>
          <w:highlight w:val="none"/>
          <w:lang w:val="en-US" w:eastAsia="zh-CN" w:bidi="zh-CN"/>
        </w:rPr>
        <w:t>部门财政资金支出情况</w:t>
      </w:r>
    </w:p>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textAlignment w:val="auto"/>
        <w:rPr>
          <w:rFonts w:hint="default" w:ascii="仿宋" w:hAnsi="仿宋" w:eastAsia="仿宋" w:cs="仿宋"/>
          <w:color w:val="000000"/>
          <w:spacing w:val="0"/>
          <w:kern w:val="2"/>
          <w:sz w:val="32"/>
          <w:szCs w:val="32"/>
          <w:highlight w:val="none"/>
          <w:lang w:val="en-US" w:eastAsia="zh-CN" w:bidi="zh-CN"/>
        </w:rPr>
      </w:pPr>
      <w:r>
        <w:rPr>
          <w:rFonts w:hint="eastAsia" w:ascii="仿宋" w:hAnsi="仿宋" w:eastAsia="仿宋" w:cs="仿宋"/>
          <w:color w:val="000000"/>
          <w:spacing w:val="0"/>
          <w:kern w:val="2"/>
          <w:sz w:val="32"/>
          <w:szCs w:val="32"/>
          <w:highlight w:val="none"/>
          <w:lang w:val="en-US" w:eastAsia="zh-CN" w:bidi="zh-CN"/>
        </w:rPr>
        <w:t>2021年财政拨款支出16,648,037.44元（其中：财政拨款基本支出：13,764,037.44元；财政拨款项目支出2,884,000.00元），与2020年相比，财政拨款全年支出增加19.7%。</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黑体" w:hAnsi="黑体" w:eastAsia="黑体" w:cs="黑体"/>
          <w:color w:val="000000"/>
          <w:spacing w:val="0"/>
          <w:kern w:val="2"/>
          <w:sz w:val="32"/>
          <w:szCs w:val="32"/>
          <w:highlight w:val="none"/>
          <w:lang w:val="en-US" w:eastAsia="zh-CN" w:bidi="zh-CN"/>
        </w:rPr>
      </w:pPr>
      <w:r>
        <w:rPr>
          <w:rFonts w:hint="eastAsia" w:ascii="黑体" w:hAnsi="黑体" w:eastAsia="黑体" w:cs="黑体"/>
          <w:color w:val="000000"/>
          <w:spacing w:val="0"/>
          <w:kern w:val="2"/>
          <w:sz w:val="32"/>
          <w:szCs w:val="32"/>
          <w:highlight w:val="none"/>
          <w:lang w:val="en-US" w:eastAsia="zh-CN" w:bidi="zh-CN"/>
        </w:rPr>
        <w:t>部门财政支出管理情况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3" w:firstLineChars="200"/>
        <w:jc w:val="both"/>
        <w:textAlignment w:val="auto"/>
        <w:rPr>
          <w:rFonts w:hint="eastAsia" w:ascii="楷体" w:hAnsi="楷体" w:eastAsia="楷体" w:cs="楷体"/>
          <w:b/>
          <w:bCs/>
          <w:lang w:val="en-US" w:eastAsia="zh-CN"/>
        </w:rPr>
      </w:pPr>
      <w:r>
        <w:rPr>
          <w:rFonts w:hint="eastAsia" w:ascii="楷体" w:hAnsi="楷体" w:eastAsia="楷体" w:cs="楷体"/>
          <w:b/>
          <w:bCs/>
          <w:color w:val="000000"/>
          <w:spacing w:val="0"/>
          <w:kern w:val="2"/>
          <w:sz w:val="32"/>
          <w:szCs w:val="32"/>
          <w:highlight w:val="none"/>
          <w:lang w:val="en-US" w:eastAsia="zh-CN" w:bidi="zh-CN"/>
        </w:rPr>
        <w:t>（一）制度建设情况</w:t>
      </w:r>
    </w:p>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textAlignment w:val="auto"/>
        <w:rPr>
          <w:rFonts w:hint="default"/>
          <w:lang w:val="en-US" w:eastAsia="zh-CN"/>
        </w:rPr>
      </w:pPr>
      <w:r>
        <w:rPr>
          <w:rFonts w:hint="eastAsia" w:ascii="仿宋" w:hAnsi="仿宋" w:eastAsia="仿宋" w:cs="仿宋"/>
          <w:color w:val="000000"/>
          <w:spacing w:val="0"/>
          <w:kern w:val="2"/>
          <w:sz w:val="32"/>
          <w:szCs w:val="32"/>
          <w:highlight w:val="none"/>
          <w:lang w:val="en-US" w:eastAsia="zh-CN" w:bidi="zh-CN"/>
        </w:rPr>
        <w:t>为加强单位内部管理，我院建立健全了《内部管理制度》《印章管理制度》《公务接待管理制度》等相关制度，为规范“三重一大”决策运行程序，完善和制定了《“三重一大”事项议事决策制度》，提高了决策的民主性、科学性、规范性。</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3" w:firstLineChars="200"/>
        <w:jc w:val="both"/>
        <w:textAlignment w:val="auto"/>
        <w:rPr>
          <w:rFonts w:hint="eastAsia" w:ascii="楷体" w:hAnsi="楷体" w:eastAsia="楷体" w:cs="楷体"/>
          <w:b/>
          <w:bCs/>
          <w:color w:val="000000"/>
          <w:spacing w:val="0"/>
          <w:kern w:val="2"/>
          <w:sz w:val="32"/>
          <w:szCs w:val="32"/>
          <w:highlight w:val="none"/>
          <w:lang w:val="en-US" w:eastAsia="zh-CN" w:bidi="zh-CN"/>
        </w:rPr>
      </w:pPr>
      <w:r>
        <w:rPr>
          <w:rFonts w:hint="eastAsia" w:ascii="楷体" w:hAnsi="楷体" w:eastAsia="楷体" w:cs="楷体"/>
          <w:b/>
          <w:bCs/>
          <w:color w:val="000000"/>
          <w:spacing w:val="0"/>
          <w:kern w:val="2"/>
          <w:sz w:val="32"/>
          <w:szCs w:val="32"/>
          <w:highlight w:val="none"/>
          <w:lang w:val="en-US" w:eastAsia="zh-CN" w:bidi="zh-CN"/>
        </w:rPr>
        <w:t>（二）绩效目标管理情况</w:t>
      </w:r>
    </w:p>
    <w:p>
      <w:pPr>
        <w:pStyle w:val="2"/>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textAlignment w:val="auto"/>
        <w:rPr>
          <w:rFonts w:hint="default"/>
          <w:lang w:val="en-US" w:eastAsia="zh-CN"/>
        </w:rPr>
      </w:pPr>
      <w:r>
        <w:rPr>
          <w:rFonts w:hint="eastAsia" w:ascii="仿宋" w:hAnsi="仿宋" w:eastAsia="仿宋" w:cs="仿宋"/>
          <w:color w:val="000000"/>
          <w:spacing w:val="0"/>
          <w:kern w:val="2"/>
          <w:sz w:val="32"/>
          <w:szCs w:val="32"/>
          <w:highlight w:val="none"/>
          <w:lang w:val="en-US" w:eastAsia="zh-CN" w:bidi="zh-CN"/>
        </w:rPr>
        <w:t>我院以上一年度预决算数据为支撑，结合当年预判支出情况，科学编制年初预算，提高预算编制的科学性和合理性，重视年初绩效评价工作，坚持“支出必问效”的原则，根据年初下达目标任务，制定年初目标绩效和目标完成计划，强化绩效动态监控，实施绩效目标全过程监控，提高规范性和长效性。</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3" w:firstLineChars="200"/>
        <w:jc w:val="both"/>
        <w:textAlignment w:val="auto"/>
        <w:rPr>
          <w:rFonts w:hint="eastAsia" w:ascii="楷体" w:hAnsi="楷体" w:eastAsia="楷体" w:cs="楷体"/>
          <w:b/>
          <w:bCs/>
          <w:color w:val="000000"/>
          <w:spacing w:val="0"/>
          <w:kern w:val="2"/>
          <w:sz w:val="32"/>
          <w:szCs w:val="32"/>
          <w:highlight w:val="none"/>
          <w:lang w:val="en-US" w:eastAsia="zh-CN" w:bidi="zh-CN"/>
        </w:rPr>
      </w:pPr>
      <w:r>
        <w:rPr>
          <w:rFonts w:hint="eastAsia" w:ascii="楷体" w:hAnsi="楷体" w:eastAsia="楷体" w:cs="楷体"/>
          <w:b/>
          <w:bCs/>
          <w:color w:val="000000"/>
          <w:spacing w:val="0"/>
          <w:kern w:val="2"/>
          <w:sz w:val="32"/>
          <w:szCs w:val="32"/>
          <w:highlight w:val="none"/>
          <w:lang w:val="en-US" w:eastAsia="zh-CN" w:bidi="zh-CN"/>
        </w:rPr>
        <w:t>（三）综合管理情况</w:t>
      </w:r>
    </w:p>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textAlignment w:val="auto"/>
        <w:rPr>
          <w:rFonts w:hint="default" w:ascii="仿宋" w:hAnsi="仿宋" w:eastAsia="仿宋" w:cs="仿宋"/>
          <w:color w:val="000000"/>
          <w:spacing w:val="0"/>
          <w:kern w:val="2"/>
          <w:sz w:val="32"/>
          <w:szCs w:val="32"/>
          <w:highlight w:val="none"/>
          <w:lang w:val="en-US" w:eastAsia="zh-CN" w:bidi="zh-CN"/>
        </w:rPr>
      </w:pPr>
      <w:r>
        <w:rPr>
          <w:rFonts w:hint="eastAsia" w:ascii="仿宋" w:hAnsi="仿宋" w:eastAsia="仿宋" w:cs="仿宋"/>
          <w:color w:val="000000"/>
          <w:spacing w:val="0"/>
          <w:kern w:val="2"/>
          <w:sz w:val="32"/>
          <w:szCs w:val="32"/>
          <w:highlight w:val="none"/>
          <w:lang w:val="en-US" w:eastAsia="zh-CN" w:bidi="zh-CN"/>
        </w:rPr>
        <w:t>我院无政府性债务，当年无新增债务。在财务管理上，严格执行《预算法》和上级相关文件规定；在资产管理上，建立了资产台账，做到资产来源、资产规格、资产价值、管理人员等清楚明晰；在“三公经费”使用上，严格执行年初预算不超标准，本着厉行节约的原则，压缩非公务活动支出，减少不必要的开支，2021年单位“三公”经费财政拨款支出23.31万元，其中：因公出国（境）经费支出0万元，公务接待费支出3.81万元，公务用车运行维护费19.5万元；在信息公开和日常监督上，我院按照财政相关要求，将预、决算情况、绩效评价情况按时公开到本级政府网站，接受社会监督，同时，接受定期和不定期抽查、检查、内审2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3" w:firstLineChars="200"/>
        <w:jc w:val="both"/>
        <w:textAlignment w:val="auto"/>
        <w:rPr>
          <w:rFonts w:hint="eastAsia" w:ascii="楷体" w:hAnsi="楷体" w:eastAsia="楷体" w:cs="楷体"/>
          <w:b/>
          <w:bCs/>
          <w:color w:val="000000"/>
          <w:spacing w:val="0"/>
          <w:kern w:val="2"/>
          <w:sz w:val="32"/>
          <w:szCs w:val="32"/>
          <w:highlight w:val="none"/>
          <w:lang w:val="en-US" w:eastAsia="zh-CN" w:bidi="zh-CN"/>
        </w:rPr>
      </w:pPr>
      <w:r>
        <w:rPr>
          <w:rFonts w:hint="eastAsia" w:ascii="楷体" w:hAnsi="楷体" w:eastAsia="楷体" w:cs="楷体"/>
          <w:b/>
          <w:bCs/>
          <w:color w:val="000000"/>
          <w:spacing w:val="0"/>
          <w:kern w:val="2"/>
          <w:sz w:val="32"/>
          <w:szCs w:val="32"/>
          <w:highlight w:val="none"/>
          <w:lang w:val="en-US" w:eastAsia="zh-CN" w:bidi="zh-CN"/>
        </w:rPr>
        <w:t>（四）综合绩效情况</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eastAsia" w:ascii="仿宋" w:hAnsi="仿宋" w:eastAsia="仿宋" w:cs="仿宋"/>
          <w:color w:val="000000"/>
          <w:spacing w:val="0"/>
          <w:kern w:val="2"/>
          <w:sz w:val="32"/>
          <w:szCs w:val="32"/>
          <w:highlight w:val="none"/>
          <w:lang w:val="en-US" w:eastAsia="zh-CN" w:bidi="zh-CN"/>
        </w:rPr>
      </w:pPr>
      <w:r>
        <w:rPr>
          <w:rFonts w:hint="eastAsia" w:ascii="仿宋" w:hAnsi="仿宋" w:eastAsia="仿宋" w:cs="仿宋"/>
          <w:color w:val="000000"/>
          <w:spacing w:val="0"/>
          <w:kern w:val="2"/>
          <w:sz w:val="32"/>
          <w:szCs w:val="32"/>
          <w:highlight w:val="none"/>
          <w:lang w:val="en-US" w:eastAsia="zh-CN" w:bidi="zh-CN"/>
        </w:rPr>
        <w:t>按照预算绩效管理要求，我院年初对4项项目进行了事前绩效评估，预算执行过程中，展开了绩效自评，对照项目绩效要求，我院4项项目经费执行完毕，年终绩效目标能够较好的完成。</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left"/>
        <w:textAlignment w:val="auto"/>
        <w:rPr>
          <w:rFonts w:hint="eastAsia" w:ascii="仿宋" w:hAnsi="仿宋" w:eastAsia="仿宋" w:cs="仿宋"/>
          <w:color w:val="000000"/>
          <w:spacing w:val="0"/>
          <w:kern w:val="2"/>
          <w:sz w:val="32"/>
          <w:szCs w:val="32"/>
          <w:highlight w:val="none"/>
          <w:lang w:val="en-US" w:eastAsia="zh-CN" w:bidi="zh-CN"/>
        </w:rPr>
      </w:pPr>
      <w:r>
        <w:rPr>
          <w:rFonts w:hint="eastAsia" w:ascii="仿宋" w:hAnsi="仿宋" w:eastAsia="仿宋" w:cs="仿宋"/>
          <w:color w:val="000000"/>
          <w:spacing w:val="0"/>
          <w:kern w:val="2"/>
          <w:sz w:val="32"/>
          <w:szCs w:val="32"/>
          <w:highlight w:val="none"/>
          <w:lang w:val="en-US" w:eastAsia="zh-CN" w:bidi="zh-CN"/>
        </w:rPr>
        <w:t>1.“移动办案平台及警车GPS租赁费”项目绩效完成情况：该项目年初预算19.4万元，执行数19.4万元，完成预算100%，主要用于引入移动式办案平台和执法执勤用车GPS系统，提高办案质量和效率。</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default" w:ascii="仿宋" w:hAnsi="仿宋" w:eastAsia="仿宋" w:cs="仿宋"/>
          <w:color w:val="000000"/>
          <w:spacing w:val="0"/>
          <w:kern w:val="2"/>
          <w:sz w:val="32"/>
          <w:szCs w:val="32"/>
          <w:highlight w:val="none"/>
          <w:lang w:val="en-US" w:eastAsia="zh-CN" w:bidi="zh-CN"/>
        </w:rPr>
      </w:pPr>
      <w:r>
        <w:rPr>
          <w:rFonts w:hint="eastAsia" w:ascii="仿宋" w:hAnsi="仿宋" w:eastAsia="仿宋" w:cs="仿宋"/>
          <w:color w:val="000000"/>
          <w:spacing w:val="0"/>
          <w:kern w:val="2"/>
          <w:sz w:val="32"/>
          <w:szCs w:val="32"/>
          <w:highlight w:val="none"/>
          <w:lang w:val="en-US" w:eastAsia="zh-CN" w:bidi="zh-CN"/>
        </w:rPr>
        <w:t>2.“律师参与化解信访案件补助”项目绩效完成情况：该项目年初预算3万元，执行数3万元，完成预算100%，主要用于引入律师参与化解涉诉信访案件办理过程，保障了人民权利，维护公平正义。</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default" w:ascii="仿宋" w:hAnsi="仿宋" w:eastAsia="仿宋" w:cs="仿宋"/>
          <w:color w:val="000000"/>
          <w:spacing w:val="0"/>
          <w:kern w:val="2"/>
          <w:sz w:val="32"/>
          <w:szCs w:val="32"/>
          <w:highlight w:val="none"/>
          <w:lang w:val="en-US" w:eastAsia="zh-CN" w:bidi="zh-CN"/>
        </w:rPr>
      </w:pPr>
      <w:r>
        <w:rPr>
          <w:rFonts w:hint="eastAsia" w:ascii="仿宋" w:hAnsi="仿宋" w:eastAsia="仿宋" w:cs="仿宋"/>
          <w:color w:val="000000"/>
          <w:spacing w:val="0"/>
          <w:kern w:val="2"/>
          <w:sz w:val="32"/>
          <w:szCs w:val="32"/>
          <w:highlight w:val="none"/>
          <w:lang w:val="en-US" w:eastAsia="zh-CN" w:bidi="zh-CN"/>
        </w:rPr>
        <w:t>3.“人民监督院经费”项目绩效完成情况：该项目年初预算2万元，执行数2万元，完成预算100%，主要用于邀请人民监督员参与案件办理过程，对案件办理实施监督，提升办案质量。</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default" w:ascii="仿宋" w:hAnsi="仿宋" w:eastAsia="仿宋" w:cs="仿宋"/>
          <w:color w:val="000000"/>
          <w:spacing w:val="0"/>
          <w:kern w:val="2"/>
          <w:sz w:val="32"/>
          <w:szCs w:val="32"/>
          <w:highlight w:val="none"/>
          <w:lang w:val="en-US" w:eastAsia="zh-CN" w:bidi="zh-CN"/>
        </w:rPr>
      </w:pPr>
      <w:r>
        <w:rPr>
          <w:rFonts w:hint="eastAsia" w:ascii="仿宋" w:hAnsi="仿宋" w:eastAsia="仿宋" w:cs="仿宋"/>
          <w:color w:val="000000"/>
          <w:spacing w:val="0"/>
          <w:kern w:val="2"/>
          <w:sz w:val="32"/>
          <w:szCs w:val="32"/>
          <w:highlight w:val="none"/>
          <w:lang w:val="en-US" w:eastAsia="zh-CN" w:bidi="zh-CN"/>
        </w:rPr>
        <w:t>4.“办案经费”项目绩效完成情况：该项目年初预算25万元，执行数25万元，完成预算100%，主要用于保障案件办理过程中发生的差旅费、交通费等成本性费用支出，全年办理刑事案件692件，书面纠正侦查、审判活动违法10件，办理民事、行政监督案件55件，提出检察建议23件，着力解决群众关心的问题、行政机关棘手的难题，摸排公益诉讼线索</w:t>
      </w:r>
      <w:r>
        <w:rPr>
          <w:rFonts w:hint="default" w:ascii="Times New Roman" w:hAnsi="Times New Roman" w:eastAsia="仿宋" w:cs="Times New Roman"/>
          <w:color w:val="000000" w:themeColor="text1"/>
          <w:spacing w:val="0"/>
          <w:kern w:val="2"/>
          <w:sz w:val="32"/>
          <w:szCs w:val="32"/>
          <w:u w:val="none"/>
          <w:rtl w:val="0"/>
          <w:lang w:val="en-US" w:eastAsia="zh-CN" w:bidi="ar-SA"/>
          <w14:textFill>
            <w14:solidFill>
              <w14:schemeClr w14:val="tx1"/>
            </w14:solidFill>
          </w14:textFill>
        </w:rPr>
        <w:t>72件，立案50件，发出诉前检察建议29件</w:t>
      </w:r>
      <w:r>
        <w:rPr>
          <w:rFonts w:hint="eastAsia" w:ascii="Times New Roman" w:hAnsi="Times New Roman" w:eastAsia="仿宋" w:cs="Times New Roman"/>
          <w:color w:val="000000" w:themeColor="text1"/>
          <w:spacing w:val="0"/>
          <w:kern w:val="2"/>
          <w:sz w:val="32"/>
          <w:szCs w:val="32"/>
          <w:u w:val="none"/>
          <w:rtl w:val="0"/>
          <w:lang w:val="en-US" w:eastAsia="zh-CN" w:bidi="ar-SA"/>
          <w14:textFill>
            <w14:solidFill>
              <w14:schemeClr w14:val="tx1"/>
            </w14:solidFill>
          </w14:textFill>
        </w:rPr>
        <w:t>，</w:t>
      </w:r>
      <w:r>
        <w:rPr>
          <w:rFonts w:hint="eastAsia" w:ascii="仿宋" w:hAnsi="仿宋" w:eastAsia="仿宋" w:cs="仿宋"/>
          <w:color w:val="000000"/>
          <w:spacing w:val="0"/>
          <w:kern w:val="2"/>
          <w:sz w:val="32"/>
          <w:szCs w:val="32"/>
          <w:highlight w:val="none"/>
          <w:lang w:val="en-US" w:eastAsia="zh-CN" w:bidi="zh-CN"/>
        </w:rPr>
        <w:t>为国家和集体挽回经济损失。</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3" w:firstLineChars="200"/>
        <w:jc w:val="both"/>
        <w:textAlignment w:val="auto"/>
        <w:rPr>
          <w:rFonts w:hint="eastAsia" w:ascii="楷体" w:hAnsi="楷体" w:eastAsia="楷体" w:cs="楷体"/>
          <w:b/>
          <w:bCs/>
          <w:color w:val="000000"/>
          <w:spacing w:val="0"/>
          <w:kern w:val="2"/>
          <w:sz w:val="32"/>
          <w:szCs w:val="32"/>
          <w:highlight w:val="none"/>
          <w:lang w:val="en-US" w:eastAsia="zh-CN" w:bidi="zh-CN"/>
        </w:rPr>
      </w:pPr>
      <w:r>
        <w:rPr>
          <w:rFonts w:hint="eastAsia" w:ascii="楷体" w:hAnsi="楷体" w:eastAsia="楷体" w:cs="楷体"/>
          <w:b/>
          <w:bCs/>
          <w:color w:val="000000"/>
          <w:spacing w:val="0"/>
          <w:kern w:val="2"/>
          <w:sz w:val="32"/>
          <w:szCs w:val="32"/>
          <w:highlight w:val="none"/>
          <w:lang w:val="en-US" w:eastAsia="zh-CN" w:bidi="zh-CN"/>
        </w:rPr>
        <w:t>（五）评价结论</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default" w:ascii="仿宋" w:hAnsi="仿宋" w:eastAsia="仿宋" w:cs="仿宋"/>
          <w:color w:val="000000"/>
          <w:spacing w:val="0"/>
          <w:kern w:val="2"/>
          <w:sz w:val="32"/>
          <w:szCs w:val="32"/>
          <w:highlight w:val="none"/>
          <w:lang w:val="en-US" w:eastAsia="zh-CN" w:bidi="zh-CN"/>
        </w:rPr>
      </w:pPr>
      <w:r>
        <w:rPr>
          <w:rFonts w:hint="eastAsia" w:ascii="仿宋" w:hAnsi="仿宋" w:eastAsia="仿宋" w:cs="仿宋"/>
          <w:color w:val="000000"/>
          <w:spacing w:val="0"/>
          <w:kern w:val="2"/>
          <w:sz w:val="32"/>
          <w:szCs w:val="32"/>
          <w:highlight w:val="none"/>
          <w:lang w:val="en-US" w:eastAsia="zh-CN" w:bidi="zh-CN"/>
        </w:rPr>
        <w:t>2021年我院整体绩效评价较好，能够按照预算管理相关要求，科学编制预算，严格执行预算，预算资金与年初目标任务相适应，资金用途明确，使用规范合理，能够为完成目标任务提供资金保障，维护了国家和人民的利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3" w:firstLineChars="200"/>
        <w:jc w:val="both"/>
        <w:textAlignment w:val="auto"/>
        <w:rPr>
          <w:rFonts w:hint="default" w:ascii="楷体" w:hAnsi="楷体" w:eastAsia="楷体" w:cs="楷体"/>
          <w:b/>
          <w:bCs/>
          <w:color w:val="000000"/>
          <w:spacing w:val="0"/>
          <w:kern w:val="2"/>
          <w:sz w:val="32"/>
          <w:szCs w:val="32"/>
          <w:highlight w:val="none"/>
          <w:lang w:val="en-US" w:eastAsia="zh-CN" w:bidi="zh-CN"/>
        </w:rPr>
      </w:pPr>
      <w:r>
        <w:rPr>
          <w:rFonts w:hint="eastAsia" w:ascii="楷体" w:hAnsi="楷体" w:eastAsia="楷体" w:cs="楷体"/>
          <w:b/>
          <w:bCs/>
          <w:color w:val="000000"/>
          <w:spacing w:val="0"/>
          <w:kern w:val="2"/>
          <w:sz w:val="32"/>
          <w:szCs w:val="32"/>
          <w:highlight w:val="none"/>
          <w:lang w:val="en-US" w:eastAsia="zh-CN" w:bidi="zh-CN"/>
        </w:rPr>
        <w:t>（五）存在的问题下一步打算</w:t>
      </w:r>
    </w:p>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textAlignment w:val="auto"/>
        <w:rPr>
          <w:rFonts w:hint="eastAsia" w:ascii="仿宋" w:hAnsi="仿宋" w:eastAsia="仿宋" w:cs="仿宋"/>
          <w:b/>
          <w:bCs/>
          <w:color w:val="000000"/>
          <w:spacing w:val="0"/>
          <w:kern w:val="2"/>
          <w:sz w:val="32"/>
          <w:szCs w:val="32"/>
          <w:highlight w:val="none"/>
          <w:lang w:val="en-US" w:eastAsia="zh-CN" w:bidi="zh-CN"/>
        </w:rPr>
      </w:pPr>
      <w:r>
        <w:rPr>
          <w:rFonts w:hint="eastAsia" w:ascii="仿宋" w:hAnsi="仿宋" w:eastAsia="仿宋" w:cs="仿宋"/>
          <w:b/>
          <w:bCs/>
          <w:color w:val="000000"/>
          <w:spacing w:val="0"/>
          <w:kern w:val="2"/>
          <w:sz w:val="32"/>
          <w:szCs w:val="32"/>
          <w:highlight w:val="none"/>
          <w:lang w:val="en-US" w:eastAsia="zh-CN" w:bidi="zh-CN"/>
        </w:rPr>
        <w:t>1.存在的问题</w:t>
      </w:r>
    </w:p>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textAlignment w:val="auto"/>
        <w:rPr>
          <w:rFonts w:hint="eastAsia" w:ascii="仿宋" w:hAnsi="仿宋" w:eastAsia="仿宋" w:cs="仿宋"/>
          <w:color w:val="000000"/>
          <w:spacing w:val="0"/>
          <w:kern w:val="2"/>
          <w:sz w:val="32"/>
          <w:szCs w:val="32"/>
          <w:highlight w:val="none"/>
          <w:lang w:val="en-US" w:eastAsia="zh-CN" w:bidi="zh-CN"/>
        </w:rPr>
      </w:pPr>
      <w:r>
        <w:rPr>
          <w:rFonts w:hint="eastAsia" w:ascii="仿宋" w:hAnsi="仿宋" w:eastAsia="仿宋" w:cs="仿宋"/>
          <w:color w:val="000000"/>
          <w:spacing w:val="0"/>
          <w:kern w:val="2"/>
          <w:sz w:val="32"/>
          <w:szCs w:val="32"/>
          <w:highlight w:val="none"/>
          <w:lang w:val="en-US" w:eastAsia="zh-CN" w:bidi="zh-CN"/>
        </w:rPr>
        <w:t>制定更新不及时，财务管理方面有待加强。</w:t>
      </w:r>
    </w:p>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textAlignment w:val="auto"/>
        <w:rPr>
          <w:rFonts w:hint="eastAsia" w:ascii="仿宋" w:hAnsi="仿宋" w:eastAsia="仿宋" w:cs="仿宋"/>
          <w:b/>
          <w:bCs/>
          <w:color w:val="000000"/>
          <w:spacing w:val="0"/>
          <w:kern w:val="2"/>
          <w:sz w:val="32"/>
          <w:szCs w:val="32"/>
          <w:highlight w:val="none"/>
          <w:lang w:val="en-US" w:eastAsia="zh-CN" w:bidi="zh-CN"/>
        </w:rPr>
      </w:pPr>
      <w:r>
        <w:rPr>
          <w:rFonts w:hint="eastAsia" w:ascii="仿宋" w:hAnsi="仿宋" w:eastAsia="仿宋" w:cs="仿宋"/>
          <w:b/>
          <w:bCs/>
          <w:color w:val="000000"/>
          <w:spacing w:val="0"/>
          <w:kern w:val="2"/>
          <w:sz w:val="32"/>
          <w:szCs w:val="32"/>
          <w:highlight w:val="none"/>
          <w:lang w:val="en-US" w:eastAsia="zh-CN" w:bidi="zh-CN"/>
        </w:rPr>
        <w:t>2.改进建议</w:t>
      </w:r>
    </w:p>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textAlignment w:val="auto"/>
        <w:rPr>
          <w:rFonts w:hint="eastAsia" w:ascii="黑体" w:hAnsi="黑体" w:eastAsia="黑体"/>
          <w:color w:val="000000"/>
          <w:sz w:val="44"/>
          <w:szCs w:val="44"/>
        </w:rPr>
      </w:pPr>
      <w:r>
        <w:rPr>
          <w:rFonts w:hint="eastAsia" w:ascii="仿宋" w:hAnsi="仿宋" w:eastAsia="仿宋" w:cs="仿宋"/>
          <w:color w:val="000000"/>
          <w:spacing w:val="0"/>
          <w:kern w:val="2"/>
          <w:sz w:val="32"/>
          <w:szCs w:val="32"/>
          <w:highlight w:val="none"/>
          <w:lang w:val="en-US" w:eastAsia="zh-CN" w:bidi="zh-CN"/>
        </w:rPr>
        <w:t>增强学习意识，强化对业务人员的培训，积极学习新政策、新规定和业务知识，并运用到实际工作中去，提升管理能力。</w:t>
      </w:r>
    </w:p>
    <w:p>
      <w:pPr>
        <w:spacing w:line="600" w:lineRule="exact"/>
        <w:jc w:val="center"/>
        <w:outlineLvl w:val="0"/>
        <w:rPr>
          <w:rStyle w:val="25"/>
          <w:rFonts w:ascii="黑体" w:hAnsi="黑体" w:eastAsia="黑体"/>
          <w:b w:val="0"/>
          <w:highlight w:val="none"/>
        </w:rPr>
      </w:pPr>
      <w:r>
        <w:rPr>
          <w:rFonts w:hint="eastAsia" w:ascii="黑体" w:hAnsi="黑体" w:eastAsia="黑体"/>
          <w:color w:val="000000"/>
          <w:sz w:val="44"/>
          <w:szCs w:val="44"/>
          <w:highlight w:val="none"/>
        </w:rPr>
        <w:t>第</w:t>
      </w:r>
      <w:r>
        <w:rPr>
          <w:rStyle w:val="25"/>
          <w:rFonts w:hint="eastAsia" w:ascii="黑体" w:hAnsi="黑体" w:eastAsia="黑体"/>
          <w:b w:val="0"/>
          <w:highlight w:val="none"/>
        </w:rPr>
        <w:t>五部分</w:t>
      </w:r>
      <w:bookmarkStart w:id="50" w:name="_GoBack"/>
      <w:bookmarkEnd w:id="50"/>
      <w:r>
        <w:rPr>
          <w:rStyle w:val="25"/>
          <w:rFonts w:hint="eastAsia" w:ascii="黑体" w:hAnsi="黑体" w:eastAsia="黑体"/>
          <w:b w:val="0"/>
          <w:highlight w:val="none"/>
        </w:rPr>
        <w:t>附表</w:t>
      </w:r>
      <w:bookmarkEnd w:id="45"/>
      <w:bookmarkEnd w:id="48"/>
    </w:p>
    <w:p>
      <w:pPr>
        <w:spacing w:line="600" w:lineRule="exact"/>
        <w:jc w:val="center"/>
        <w:outlineLvl w:val="0"/>
        <w:rPr>
          <w:rFonts w:ascii="仿宋" w:hAnsi="仿宋" w:eastAsia="仿宋"/>
          <w:b/>
          <w:color w:val="000000"/>
          <w:sz w:val="44"/>
          <w:szCs w:val="44"/>
          <w:highlight w:val="lightGray"/>
        </w:rPr>
      </w:pPr>
    </w:p>
    <w:p>
      <w:pPr>
        <w:pStyle w:val="4"/>
        <w:rPr>
          <w:rFonts w:ascii="仿宋" w:hAnsi="仿宋" w:eastAsia="仿宋"/>
          <w:color w:val="000000"/>
        </w:rPr>
      </w:pPr>
      <w:bookmarkStart w:id="49" w:name="_Toc15396619"/>
      <w:r>
        <w:rPr>
          <w:rFonts w:hint="eastAsia" w:ascii="仿宋" w:hAnsi="仿宋" w:eastAsia="仿宋"/>
          <w:b w:val="0"/>
          <w:color w:val="000000"/>
        </w:rPr>
        <w:t>一、收</w:t>
      </w:r>
      <w:r>
        <w:rPr>
          <w:rStyle w:val="26"/>
          <w:rFonts w:hint="eastAsia" w:ascii="仿宋" w:hAnsi="仿宋" w:eastAsia="仿宋"/>
          <w:b w:val="0"/>
          <w:bCs w:val="0"/>
        </w:rPr>
        <w:t>入支出决算总表</w:t>
      </w:r>
    </w:p>
    <w:p>
      <w:pPr>
        <w:pStyle w:val="4"/>
        <w:rPr>
          <w:rFonts w:ascii="仿宋" w:hAnsi="仿宋" w:eastAsia="仿宋"/>
          <w:color w:val="000000"/>
        </w:rPr>
      </w:pPr>
      <w:r>
        <w:rPr>
          <w:rFonts w:hint="eastAsia" w:ascii="仿宋" w:hAnsi="仿宋" w:eastAsia="仿宋"/>
          <w:b w:val="0"/>
          <w:color w:val="000000"/>
        </w:rPr>
        <w:t>二、收</w:t>
      </w:r>
      <w:r>
        <w:rPr>
          <w:rStyle w:val="26"/>
          <w:rFonts w:hint="eastAsia" w:ascii="仿宋" w:hAnsi="仿宋" w:eastAsia="仿宋"/>
          <w:b w:val="0"/>
          <w:bCs w:val="0"/>
        </w:rPr>
        <w:t>入</w:t>
      </w:r>
      <w:r>
        <w:rPr>
          <w:rStyle w:val="26"/>
          <w:rFonts w:hint="eastAsia" w:ascii="仿宋" w:hAnsi="仿宋" w:eastAsia="仿宋"/>
          <w:b w:val="0"/>
          <w:bCs w:val="0"/>
          <w:lang w:eastAsia="zh-CN"/>
        </w:rPr>
        <w:t>决算</w:t>
      </w:r>
      <w:r>
        <w:rPr>
          <w:rStyle w:val="26"/>
          <w:rFonts w:hint="eastAsia" w:ascii="仿宋" w:hAnsi="仿宋" w:eastAsia="仿宋"/>
          <w:b w:val="0"/>
          <w:bCs w:val="0"/>
        </w:rPr>
        <w:t>表</w:t>
      </w:r>
    </w:p>
    <w:p>
      <w:pPr>
        <w:pStyle w:val="4"/>
        <w:rPr>
          <w:rFonts w:ascii="仿宋" w:hAnsi="仿宋" w:eastAsia="仿宋"/>
          <w:color w:val="000000"/>
        </w:rPr>
      </w:pPr>
      <w:r>
        <w:rPr>
          <w:rStyle w:val="26"/>
          <w:rFonts w:hint="eastAsia" w:ascii="仿宋" w:hAnsi="仿宋" w:eastAsia="仿宋"/>
          <w:b w:val="0"/>
          <w:bCs w:val="0"/>
        </w:rPr>
        <w:t>三、</w:t>
      </w:r>
      <w:r>
        <w:rPr>
          <w:rFonts w:hint="eastAsia" w:ascii="仿宋" w:hAnsi="仿宋" w:eastAsia="仿宋"/>
          <w:b w:val="0"/>
          <w:color w:val="000000"/>
        </w:rPr>
        <w:t>支</w:t>
      </w:r>
      <w:r>
        <w:rPr>
          <w:rStyle w:val="26"/>
          <w:rFonts w:hint="eastAsia" w:ascii="仿宋" w:hAnsi="仿宋" w:eastAsia="仿宋"/>
          <w:b w:val="0"/>
          <w:bCs w:val="0"/>
        </w:rPr>
        <w:t>出</w:t>
      </w:r>
      <w:r>
        <w:rPr>
          <w:rStyle w:val="26"/>
          <w:rFonts w:hint="eastAsia" w:ascii="仿宋" w:hAnsi="仿宋" w:eastAsia="仿宋"/>
          <w:b w:val="0"/>
          <w:bCs w:val="0"/>
          <w:lang w:eastAsia="zh-CN"/>
        </w:rPr>
        <w:t>决算</w:t>
      </w:r>
      <w:r>
        <w:rPr>
          <w:rStyle w:val="26"/>
          <w:rFonts w:hint="eastAsia" w:ascii="仿宋" w:hAnsi="仿宋" w:eastAsia="仿宋"/>
          <w:b w:val="0"/>
          <w:bCs w:val="0"/>
        </w:rPr>
        <w:t>表</w:t>
      </w:r>
    </w:p>
    <w:p>
      <w:pPr>
        <w:pStyle w:val="4"/>
        <w:rPr>
          <w:rFonts w:ascii="仿宋" w:hAnsi="仿宋" w:eastAsia="仿宋"/>
          <w:b w:val="0"/>
          <w:color w:val="000000"/>
        </w:rPr>
      </w:pPr>
      <w:r>
        <w:rPr>
          <w:rStyle w:val="26"/>
          <w:rFonts w:hint="eastAsia" w:ascii="仿宋" w:hAnsi="仿宋" w:eastAsia="仿宋"/>
          <w:b w:val="0"/>
          <w:bCs w:val="0"/>
        </w:rPr>
        <w:t>四、</w:t>
      </w:r>
      <w:r>
        <w:rPr>
          <w:rFonts w:hint="eastAsia" w:ascii="仿宋" w:hAnsi="仿宋" w:eastAsia="仿宋"/>
          <w:b w:val="0"/>
          <w:color w:val="000000"/>
        </w:rPr>
        <w:t>财</w:t>
      </w:r>
      <w:r>
        <w:rPr>
          <w:rStyle w:val="26"/>
          <w:rFonts w:hint="eastAsia" w:ascii="仿宋" w:hAnsi="仿宋" w:eastAsia="仿宋"/>
          <w:b w:val="0"/>
          <w:bCs w:val="0"/>
        </w:rPr>
        <w:t>政拨款收入支出决算总表</w:t>
      </w:r>
    </w:p>
    <w:p>
      <w:pPr>
        <w:pStyle w:val="4"/>
        <w:rPr>
          <w:rStyle w:val="26"/>
          <w:rFonts w:hint="eastAsia" w:ascii="仿宋" w:hAnsi="仿宋" w:eastAsia="仿宋"/>
          <w:b w:val="0"/>
          <w:bCs w:val="0"/>
        </w:rPr>
      </w:pPr>
      <w:r>
        <w:rPr>
          <w:rStyle w:val="26"/>
          <w:rFonts w:hint="eastAsia" w:ascii="仿宋" w:hAnsi="仿宋" w:eastAsia="仿宋"/>
          <w:b w:val="0"/>
          <w:bCs w:val="0"/>
        </w:rPr>
        <w:t>五、财政拨款支出决算</w:t>
      </w:r>
      <w:r>
        <w:rPr>
          <w:rStyle w:val="26"/>
          <w:rFonts w:hint="eastAsia" w:ascii="仿宋" w:hAnsi="仿宋" w:eastAsia="仿宋"/>
          <w:b w:val="0"/>
          <w:bCs w:val="0"/>
          <w:lang w:eastAsia="zh-CN"/>
        </w:rPr>
        <w:t>明细</w:t>
      </w:r>
      <w:r>
        <w:rPr>
          <w:rStyle w:val="26"/>
          <w:rFonts w:hint="eastAsia" w:ascii="仿宋" w:hAnsi="仿宋" w:eastAsia="仿宋"/>
          <w:b w:val="0"/>
          <w:bCs w:val="0"/>
        </w:rPr>
        <w:t>表</w:t>
      </w:r>
    </w:p>
    <w:p>
      <w:pPr>
        <w:rPr>
          <w:rFonts w:hint="eastAsia" w:eastAsia="仿宋"/>
          <w:lang w:eastAsia="zh-CN"/>
        </w:rPr>
      </w:pPr>
      <w:r>
        <w:rPr>
          <w:rStyle w:val="26"/>
          <w:rFonts w:hint="eastAsia" w:ascii="仿宋" w:hAnsi="仿宋" w:eastAsia="仿宋"/>
          <w:b w:val="0"/>
          <w:bCs w:val="0"/>
          <w:lang w:eastAsia="zh-CN"/>
        </w:rPr>
        <w:t>六、</w:t>
      </w:r>
      <w:r>
        <w:rPr>
          <w:rFonts w:hint="eastAsia" w:ascii="仿宋" w:hAnsi="仿宋" w:eastAsia="仿宋"/>
          <w:b w:val="0"/>
          <w:color w:val="000000"/>
        </w:rPr>
        <w:t>一</w:t>
      </w:r>
      <w:r>
        <w:rPr>
          <w:rStyle w:val="26"/>
          <w:rFonts w:hint="eastAsia" w:ascii="仿宋" w:hAnsi="仿宋" w:eastAsia="仿宋"/>
          <w:b w:val="0"/>
          <w:bCs w:val="0"/>
        </w:rPr>
        <w:t>般公共预算财政拨款支出决算表</w:t>
      </w:r>
    </w:p>
    <w:p>
      <w:pPr>
        <w:pStyle w:val="4"/>
        <w:rPr>
          <w:rFonts w:ascii="仿宋" w:hAnsi="仿宋" w:eastAsia="仿宋"/>
          <w:color w:val="000000"/>
        </w:rPr>
      </w:pPr>
      <w:r>
        <w:rPr>
          <w:rStyle w:val="26"/>
          <w:rFonts w:hint="eastAsia" w:ascii="仿宋" w:hAnsi="仿宋" w:eastAsia="仿宋"/>
          <w:b w:val="0"/>
          <w:bCs w:val="0"/>
          <w:lang w:eastAsia="zh-CN"/>
        </w:rPr>
        <w:t>七</w:t>
      </w:r>
      <w:r>
        <w:rPr>
          <w:rStyle w:val="26"/>
          <w:rFonts w:hint="eastAsia" w:ascii="仿宋" w:hAnsi="仿宋" w:eastAsia="仿宋"/>
          <w:b w:val="0"/>
          <w:bCs w:val="0"/>
        </w:rPr>
        <w:t>、</w:t>
      </w:r>
      <w:r>
        <w:rPr>
          <w:rFonts w:hint="eastAsia" w:ascii="仿宋" w:hAnsi="仿宋" w:eastAsia="仿宋"/>
          <w:b w:val="0"/>
          <w:color w:val="000000"/>
        </w:rPr>
        <w:t>一</w:t>
      </w:r>
      <w:r>
        <w:rPr>
          <w:rStyle w:val="26"/>
          <w:rFonts w:hint="eastAsia" w:ascii="仿宋" w:hAnsi="仿宋" w:eastAsia="仿宋"/>
          <w:b w:val="0"/>
          <w:bCs w:val="0"/>
        </w:rPr>
        <w:t>般公共预算财政拨款支出决算</w:t>
      </w:r>
      <w:r>
        <w:rPr>
          <w:rStyle w:val="26"/>
          <w:rFonts w:hint="eastAsia" w:ascii="仿宋" w:hAnsi="仿宋" w:eastAsia="仿宋"/>
          <w:b w:val="0"/>
          <w:bCs w:val="0"/>
          <w:lang w:eastAsia="zh-CN"/>
        </w:rPr>
        <w:t>明细</w:t>
      </w:r>
      <w:r>
        <w:rPr>
          <w:rStyle w:val="26"/>
          <w:rFonts w:hint="eastAsia" w:ascii="仿宋" w:hAnsi="仿宋" w:eastAsia="仿宋"/>
          <w:b w:val="0"/>
          <w:bCs w:val="0"/>
        </w:rPr>
        <w:t>表</w:t>
      </w:r>
    </w:p>
    <w:p>
      <w:pPr>
        <w:rPr>
          <w:rFonts w:hint="eastAsia" w:eastAsia="仿宋"/>
          <w:lang w:eastAsia="zh-CN"/>
        </w:rPr>
      </w:pPr>
      <w:r>
        <w:rPr>
          <w:rStyle w:val="26"/>
          <w:rFonts w:hint="eastAsia" w:ascii="仿宋" w:hAnsi="仿宋" w:eastAsia="仿宋"/>
          <w:b w:val="0"/>
          <w:bCs w:val="0"/>
          <w:lang w:eastAsia="zh-CN"/>
        </w:rPr>
        <w:t>八</w:t>
      </w:r>
      <w:r>
        <w:rPr>
          <w:rStyle w:val="26"/>
          <w:rFonts w:hint="eastAsia" w:ascii="仿宋" w:hAnsi="仿宋" w:eastAsia="仿宋"/>
          <w:b w:val="0"/>
          <w:bCs w:val="0"/>
        </w:rPr>
        <w:t>、</w:t>
      </w:r>
      <w:r>
        <w:rPr>
          <w:rFonts w:hint="eastAsia" w:ascii="仿宋" w:hAnsi="仿宋" w:eastAsia="仿宋"/>
          <w:b w:val="0"/>
          <w:color w:val="000000"/>
        </w:rPr>
        <w:t>一</w:t>
      </w:r>
      <w:r>
        <w:rPr>
          <w:rStyle w:val="26"/>
          <w:rFonts w:hint="eastAsia" w:ascii="仿宋" w:hAnsi="仿宋" w:eastAsia="仿宋"/>
          <w:b w:val="0"/>
          <w:bCs w:val="0"/>
        </w:rPr>
        <w:t>般公共预算财政拨款</w:t>
      </w:r>
      <w:r>
        <w:rPr>
          <w:rStyle w:val="26"/>
          <w:rFonts w:hint="eastAsia" w:ascii="仿宋" w:hAnsi="仿宋" w:eastAsia="仿宋"/>
          <w:b w:val="0"/>
          <w:bCs w:val="0"/>
          <w:lang w:eastAsia="zh-CN"/>
        </w:rPr>
        <w:t>基本</w:t>
      </w:r>
      <w:r>
        <w:rPr>
          <w:rStyle w:val="26"/>
          <w:rFonts w:hint="eastAsia" w:ascii="仿宋" w:hAnsi="仿宋" w:eastAsia="仿宋"/>
          <w:b w:val="0"/>
          <w:bCs w:val="0"/>
        </w:rPr>
        <w:t>支出决算表</w:t>
      </w:r>
    </w:p>
    <w:p>
      <w:pPr>
        <w:pStyle w:val="4"/>
        <w:rPr>
          <w:rStyle w:val="26"/>
          <w:rFonts w:hint="eastAsia" w:ascii="仿宋" w:hAnsi="仿宋" w:eastAsia="仿宋"/>
          <w:b w:val="0"/>
          <w:bCs w:val="0"/>
        </w:rPr>
      </w:pPr>
      <w:r>
        <w:rPr>
          <w:rFonts w:hint="eastAsia" w:ascii="仿宋" w:hAnsi="仿宋" w:eastAsia="仿宋"/>
          <w:b w:val="0"/>
          <w:color w:val="000000"/>
          <w:lang w:eastAsia="zh-CN"/>
        </w:rPr>
        <w:t>九、</w:t>
      </w:r>
      <w:r>
        <w:rPr>
          <w:rFonts w:hint="eastAsia" w:ascii="仿宋" w:hAnsi="仿宋" w:eastAsia="仿宋"/>
          <w:b w:val="0"/>
          <w:color w:val="000000"/>
        </w:rPr>
        <w:t>一</w:t>
      </w:r>
      <w:r>
        <w:rPr>
          <w:rStyle w:val="26"/>
          <w:rFonts w:hint="eastAsia" w:ascii="仿宋" w:hAnsi="仿宋" w:eastAsia="仿宋"/>
          <w:b w:val="0"/>
          <w:bCs w:val="0"/>
        </w:rPr>
        <w:t>般公共预算财政拨款</w:t>
      </w:r>
      <w:r>
        <w:rPr>
          <w:rStyle w:val="26"/>
          <w:rFonts w:hint="eastAsia" w:ascii="仿宋" w:hAnsi="仿宋" w:eastAsia="仿宋"/>
          <w:b w:val="0"/>
          <w:bCs w:val="0"/>
          <w:lang w:eastAsia="zh-CN"/>
        </w:rPr>
        <w:t>项目</w:t>
      </w:r>
      <w:r>
        <w:rPr>
          <w:rStyle w:val="26"/>
          <w:rFonts w:hint="eastAsia" w:ascii="仿宋" w:hAnsi="仿宋" w:eastAsia="仿宋"/>
          <w:b w:val="0"/>
          <w:bCs w:val="0"/>
        </w:rPr>
        <w:t>支出决算表</w:t>
      </w:r>
    </w:p>
    <w:p>
      <w:pPr>
        <w:pStyle w:val="4"/>
        <w:rPr>
          <w:rFonts w:ascii="仿宋" w:hAnsi="仿宋" w:eastAsia="仿宋"/>
          <w:color w:val="000000"/>
        </w:rPr>
      </w:pPr>
      <w:r>
        <w:rPr>
          <w:rFonts w:hint="eastAsia" w:ascii="仿宋" w:hAnsi="仿宋" w:eastAsia="仿宋"/>
          <w:b w:val="0"/>
          <w:color w:val="000000"/>
          <w:lang w:eastAsia="zh-CN"/>
        </w:rPr>
        <w:t>十、</w:t>
      </w:r>
      <w:r>
        <w:rPr>
          <w:rFonts w:hint="eastAsia" w:ascii="仿宋" w:hAnsi="仿宋" w:eastAsia="仿宋"/>
          <w:b w:val="0"/>
          <w:color w:val="000000"/>
        </w:rPr>
        <w:t>一</w:t>
      </w:r>
      <w:r>
        <w:rPr>
          <w:rStyle w:val="26"/>
          <w:rFonts w:hint="eastAsia" w:ascii="仿宋" w:hAnsi="仿宋" w:eastAsia="仿宋"/>
          <w:b w:val="0"/>
          <w:bCs w:val="0"/>
        </w:rPr>
        <w:t>般公共预算财政拨款“三公”经费支出决算表</w:t>
      </w:r>
    </w:p>
    <w:p>
      <w:pPr>
        <w:pStyle w:val="4"/>
        <w:rPr>
          <w:rStyle w:val="26"/>
          <w:rFonts w:hint="eastAsia" w:ascii="仿宋" w:hAnsi="仿宋" w:eastAsia="仿宋"/>
          <w:b w:val="0"/>
          <w:bCs w:val="0"/>
        </w:rPr>
      </w:pPr>
      <w:r>
        <w:rPr>
          <w:rStyle w:val="26"/>
          <w:rFonts w:hint="eastAsia" w:ascii="仿宋" w:hAnsi="仿宋" w:eastAsia="仿宋"/>
          <w:b w:val="0"/>
          <w:bCs w:val="0"/>
          <w:lang w:eastAsia="zh-CN"/>
        </w:rPr>
        <w:t>十一</w:t>
      </w:r>
      <w:r>
        <w:rPr>
          <w:rStyle w:val="26"/>
          <w:rFonts w:hint="eastAsia" w:ascii="仿宋" w:hAnsi="仿宋" w:eastAsia="仿宋"/>
          <w:b w:val="0"/>
          <w:bCs w:val="0"/>
        </w:rPr>
        <w:t>、</w:t>
      </w:r>
      <w:r>
        <w:rPr>
          <w:rFonts w:hint="eastAsia" w:ascii="仿宋" w:hAnsi="仿宋" w:eastAsia="仿宋"/>
          <w:b w:val="0"/>
          <w:color w:val="000000"/>
        </w:rPr>
        <w:t>政</w:t>
      </w:r>
      <w:r>
        <w:rPr>
          <w:rStyle w:val="26"/>
          <w:rFonts w:hint="eastAsia" w:ascii="仿宋" w:hAnsi="仿宋" w:eastAsia="仿宋"/>
          <w:b w:val="0"/>
          <w:bCs w:val="0"/>
        </w:rPr>
        <w:t>府性基金预算财政拨款收入支出决算表</w:t>
      </w:r>
    </w:p>
    <w:p>
      <w:pPr>
        <w:rPr>
          <w:rStyle w:val="26"/>
          <w:rFonts w:hint="eastAsia" w:ascii="仿宋" w:hAnsi="仿宋" w:eastAsia="仿宋"/>
          <w:b w:val="0"/>
          <w:bCs w:val="0"/>
          <w:lang w:val="en-US" w:eastAsia="zh-CN" w:bidi="ar-SA"/>
        </w:rPr>
      </w:pPr>
      <w:r>
        <w:rPr>
          <w:rStyle w:val="26"/>
          <w:rFonts w:hint="eastAsia" w:ascii="仿宋" w:hAnsi="仿宋" w:eastAsia="仿宋"/>
          <w:b w:val="0"/>
          <w:bCs w:val="0"/>
          <w:lang w:val="en-US" w:eastAsia="zh-CN" w:bidi="ar-SA"/>
        </w:rPr>
        <w:t>十二、政府性基金预算财政拨款“三公”经费支出决算表</w:t>
      </w:r>
    </w:p>
    <w:p>
      <w:pPr>
        <w:rPr>
          <w:rStyle w:val="26"/>
          <w:rFonts w:hint="eastAsia" w:ascii="仿宋" w:hAnsi="仿宋" w:eastAsia="仿宋"/>
          <w:b w:val="0"/>
          <w:bCs w:val="0"/>
          <w:lang w:val="en-US" w:eastAsia="zh-CN" w:bidi="ar-SA"/>
        </w:rPr>
      </w:pPr>
      <w:r>
        <w:rPr>
          <w:rStyle w:val="26"/>
          <w:rFonts w:hint="eastAsia" w:ascii="仿宋" w:hAnsi="仿宋" w:eastAsia="仿宋"/>
          <w:b w:val="0"/>
          <w:bCs w:val="0"/>
          <w:lang w:val="en-US" w:eastAsia="zh-CN" w:bidi="ar-SA"/>
        </w:rPr>
        <w:t>十三、国有资本经营预算财政拨款收入支出决算表</w:t>
      </w:r>
    </w:p>
    <w:p>
      <w:pPr>
        <w:rPr>
          <w:rStyle w:val="26"/>
          <w:rFonts w:hint="eastAsia" w:ascii="仿宋" w:hAnsi="仿宋" w:eastAsia="仿宋"/>
          <w:b w:val="0"/>
          <w:bCs w:val="0"/>
          <w:lang w:val="en-US" w:eastAsia="zh-CN" w:bidi="ar-SA"/>
        </w:rPr>
      </w:pPr>
      <w:r>
        <w:rPr>
          <w:rStyle w:val="26"/>
          <w:rFonts w:hint="eastAsia" w:ascii="仿宋" w:hAnsi="仿宋" w:eastAsia="仿宋"/>
          <w:b w:val="0"/>
          <w:bCs w:val="0"/>
          <w:lang w:val="en-US" w:eastAsia="zh-CN" w:bidi="ar-SA"/>
        </w:rPr>
        <w:t>十四、国有资本经营预算财政拨款支出决算表</w:t>
      </w:r>
    </w:p>
    <w:bookmarkEnd w:id="49"/>
    <w:p>
      <w:pPr>
        <w:pStyle w:val="4"/>
        <w:rPr>
          <w:rFonts w:ascii="仿宋" w:hAnsi="仿宋" w:eastAsia="仿宋"/>
          <w:color w:val="000000"/>
          <w:highlight w:val="lightGray"/>
        </w:rPr>
      </w:pPr>
    </w:p>
    <w:sectPr>
      <w:headerReference r:id="rId3" w:type="default"/>
      <w:footerReference r:id="rId4" w:type="default"/>
      <w:pgSz w:w="11906" w:h="16838"/>
      <w:pgMar w:top="1440" w:right="1800" w:bottom="1440" w:left="1800" w:header="851" w:footer="992" w:gutter="0"/>
      <w:pgNumType w:fmt="numberInDash"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altName w:val="Arial Unicode MS"/>
    <w:panose1 w:val="02010609060101010101"/>
    <w:charset w:val="86"/>
    <w:family w:val="auto"/>
    <w:pitch w:val="default"/>
    <w:sig w:usb0="00000000" w:usb1="00000000" w:usb2="00000016" w:usb3="00000000" w:csb0="00040001" w:csb1="00000000"/>
  </w:font>
  <w:font w:name="方正小标宋简体">
    <w:altName w:val="方正舒体"/>
    <w:panose1 w:val="03000509000000000000"/>
    <w:charset w:val="86"/>
    <w:family w:val="script"/>
    <w:pitch w:val="default"/>
    <w:sig w:usb0="00000000" w:usb1="00000000" w:usb2="00000000" w:usb3="00000000" w:csb0="00040000" w:csb1="00000000"/>
  </w:font>
  <w:font w:name="楷体">
    <w:altName w:val="楷体_GB2312"/>
    <w:panose1 w:val="02010609060101010101"/>
    <w:charset w:val="86"/>
    <w:family w:val="auto"/>
    <w:pitch w:val="default"/>
    <w:sig w:usb0="00000000" w:usb1="00000000" w:usb2="00000016" w:usb3="00000000" w:csb0="00040001" w:csb1="00000000"/>
  </w:font>
  <w:font w:name="方正舒体">
    <w:panose1 w:val="02010601030101010101"/>
    <w:charset w:val="86"/>
    <w:family w:val="auto"/>
    <w:pitch w:val="default"/>
    <w:sig w:usb0="00000003"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
                            <w:docPartObj>
                              <w:docPartGallery w:val="autotext"/>
                            </w:docPartObj>
                          </w:sdtPr>
                          <w:sdtContent>
                            <w:p>
                              <w:pPr>
                                <w:pStyle w:val="8"/>
                                <w:jc w:val="cente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PAGE   \* MERGEFORMAT</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lang w:val="zh-CN"/>
                                </w:rPr>
                                <w:t>8</w:t>
                              </w:r>
                              <w:r>
                                <w:rPr>
                                  <w:rFonts w:hint="eastAsia" w:asciiTheme="minorEastAsia" w:hAnsiTheme="minorEastAsia" w:eastAsiaTheme="minorEastAsia" w:cstheme="minorEastAsia"/>
                                  <w:sz w:val="28"/>
                                  <w:szCs w:val="28"/>
                                </w:rPr>
                                <w:fldChar w:fldCharType="end"/>
                              </w:r>
                            </w:p>
                          </w:sdtContent>
                        </w:sdt>
                        <w:p>
                          <w:pPr>
                            <w:pStyle w:val="2"/>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sdt>
                    <w:sdtPr>
                      <w:id w:val="1"/>
                      <w:docPartObj>
                        <w:docPartGallery w:val="autotext"/>
                      </w:docPartObj>
                    </w:sdtPr>
                    <w:sdtContent>
                      <w:p>
                        <w:pPr>
                          <w:pStyle w:val="8"/>
                          <w:jc w:val="cente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PAGE   \* MERGEFORMAT</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lang w:val="zh-CN"/>
                          </w:rPr>
                          <w:t>8</w:t>
                        </w:r>
                        <w:r>
                          <w:rPr>
                            <w:rFonts w:hint="eastAsia" w:asciiTheme="minorEastAsia" w:hAnsiTheme="minorEastAsia" w:eastAsiaTheme="minorEastAsia" w:cstheme="minorEastAsia"/>
                            <w:sz w:val="28"/>
                            <w:szCs w:val="28"/>
                          </w:rPr>
                          <w:fldChar w:fldCharType="end"/>
                        </w:r>
                      </w:p>
                    </w:sdtContent>
                  </w:sdt>
                  <w:p>
                    <w:pPr>
                      <w:pStyle w:val="2"/>
                    </w:pPr>
                  </w:p>
                </w:txbxContent>
              </v:textbox>
            </v:shape>
          </w:pict>
        </mc:Fallback>
      </mc:AlternateContent>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D02618AD"/>
    <w:multiLevelType w:val="singleLevel"/>
    <w:tmpl w:val="D02618AD"/>
    <w:lvl w:ilvl="0" w:tentative="0">
      <w:start w:val="1"/>
      <w:numFmt w:val="chineseCounting"/>
      <w:suff w:val="nothing"/>
      <w:lvlText w:val="%1、"/>
      <w:lvlJc w:val="left"/>
      <w:rPr>
        <w:rFonts w:hint="eastAsia"/>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399EC26E"/>
    <w:multiLevelType w:val="singleLevel"/>
    <w:tmpl w:val="399EC26E"/>
    <w:lvl w:ilvl="0" w:tentative="0">
      <w:start w:val="1"/>
      <w:numFmt w:val="chineseCounting"/>
      <w:suff w:val="nothing"/>
      <w:lvlText w:val="（%1）"/>
      <w:lvlJc w:val="left"/>
      <w:rPr>
        <w:rFonts w:hint="eastAsia"/>
      </w:rPr>
    </w:lvl>
  </w:abstractNum>
  <w:abstractNum w:abstractNumId="4">
    <w:nsid w:val="57982E70"/>
    <w:multiLevelType w:val="singleLevel"/>
    <w:tmpl w:val="57982E70"/>
    <w:lvl w:ilvl="0" w:tentative="0">
      <w:start w:val="1"/>
      <w:numFmt w:val="chineseCounting"/>
      <w:suff w:val="nothing"/>
      <w:lvlText w:val="（%1）"/>
      <w:lvlJc w:val="left"/>
      <w:rPr>
        <w:rFonts w:hint="eastAsia"/>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MwYjZlOTRiYzI5YzkxODJmMmRlMmEyYzQzNTdiZWMifQ=="/>
  </w:docVars>
  <w:rsids>
    <w:rsidRoot w:val="00F1361C"/>
    <w:rsid w:val="000222C6"/>
    <w:rsid w:val="0002549F"/>
    <w:rsid w:val="0006487A"/>
    <w:rsid w:val="00065F8F"/>
    <w:rsid w:val="000768F2"/>
    <w:rsid w:val="0009184B"/>
    <w:rsid w:val="0009593C"/>
    <w:rsid w:val="000B047F"/>
    <w:rsid w:val="000B5923"/>
    <w:rsid w:val="000B5A48"/>
    <w:rsid w:val="000B6FF3"/>
    <w:rsid w:val="000C3467"/>
    <w:rsid w:val="000C3CA6"/>
    <w:rsid w:val="000D1267"/>
    <w:rsid w:val="000D1D50"/>
    <w:rsid w:val="000D5782"/>
    <w:rsid w:val="000E6613"/>
    <w:rsid w:val="000E7119"/>
    <w:rsid w:val="00114E9B"/>
    <w:rsid w:val="0014729F"/>
    <w:rsid w:val="00157BAB"/>
    <w:rsid w:val="001654D1"/>
    <w:rsid w:val="0018106D"/>
    <w:rsid w:val="001877A7"/>
    <w:rsid w:val="00190C8F"/>
    <w:rsid w:val="00191536"/>
    <w:rsid w:val="00196687"/>
    <w:rsid w:val="001B4A61"/>
    <w:rsid w:val="001C0962"/>
    <w:rsid w:val="001D7531"/>
    <w:rsid w:val="001E737D"/>
    <w:rsid w:val="001F0592"/>
    <w:rsid w:val="001F7506"/>
    <w:rsid w:val="002006CD"/>
    <w:rsid w:val="00202B36"/>
    <w:rsid w:val="00204B7A"/>
    <w:rsid w:val="0021101A"/>
    <w:rsid w:val="00220536"/>
    <w:rsid w:val="00235629"/>
    <w:rsid w:val="00260C38"/>
    <w:rsid w:val="002616C0"/>
    <w:rsid w:val="002662AA"/>
    <w:rsid w:val="00280496"/>
    <w:rsid w:val="00295495"/>
    <w:rsid w:val="002B2613"/>
    <w:rsid w:val="002D6F3A"/>
    <w:rsid w:val="002F1818"/>
    <w:rsid w:val="002F567B"/>
    <w:rsid w:val="003216A9"/>
    <w:rsid w:val="0037013F"/>
    <w:rsid w:val="00380C92"/>
    <w:rsid w:val="003A484F"/>
    <w:rsid w:val="003B0BE0"/>
    <w:rsid w:val="003B0C1B"/>
    <w:rsid w:val="003B688C"/>
    <w:rsid w:val="003C0291"/>
    <w:rsid w:val="003C39AE"/>
    <w:rsid w:val="003C67BE"/>
    <w:rsid w:val="003C7B60"/>
    <w:rsid w:val="003D1FB2"/>
    <w:rsid w:val="003D66DA"/>
    <w:rsid w:val="003E1310"/>
    <w:rsid w:val="003E6F55"/>
    <w:rsid w:val="00406254"/>
    <w:rsid w:val="004223DE"/>
    <w:rsid w:val="00434489"/>
    <w:rsid w:val="00437085"/>
    <w:rsid w:val="00443880"/>
    <w:rsid w:val="004464F4"/>
    <w:rsid w:val="0046115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7481D"/>
    <w:rsid w:val="0058486E"/>
    <w:rsid w:val="005D1C8B"/>
    <w:rsid w:val="005D5CED"/>
    <w:rsid w:val="005F1A4C"/>
    <w:rsid w:val="00605688"/>
    <w:rsid w:val="006070AF"/>
    <w:rsid w:val="00607E6C"/>
    <w:rsid w:val="006101B1"/>
    <w:rsid w:val="00614E44"/>
    <w:rsid w:val="00622830"/>
    <w:rsid w:val="00630AEF"/>
    <w:rsid w:val="006325F8"/>
    <w:rsid w:val="00634C9A"/>
    <w:rsid w:val="006440E4"/>
    <w:rsid w:val="0066343B"/>
    <w:rsid w:val="00664777"/>
    <w:rsid w:val="006748A4"/>
    <w:rsid w:val="00683E73"/>
    <w:rsid w:val="006A3141"/>
    <w:rsid w:val="006A5E34"/>
    <w:rsid w:val="006B2422"/>
    <w:rsid w:val="006B2B9A"/>
    <w:rsid w:val="006C1937"/>
    <w:rsid w:val="006F020C"/>
    <w:rsid w:val="007127B7"/>
    <w:rsid w:val="007313A2"/>
    <w:rsid w:val="007416B6"/>
    <w:rsid w:val="00746F48"/>
    <w:rsid w:val="00747D14"/>
    <w:rsid w:val="0075404D"/>
    <w:rsid w:val="0076182A"/>
    <w:rsid w:val="00767B7E"/>
    <w:rsid w:val="007770C3"/>
    <w:rsid w:val="00784D24"/>
    <w:rsid w:val="00785FBA"/>
    <w:rsid w:val="00786283"/>
    <w:rsid w:val="00786E4A"/>
    <w:rsid w:val="007875EB"/>
    <w:rsid w:val="0079426B"/>
    <w:rsid w:val="007D312A"/>
    <w:rsid w:val="007D3F19"/>
    <w:rsid w:val="007E23B0"/>
    <w:rsid w:val="007F1991"/>
    <w:rsid w:val="007F2C2F"/>
    <w:rsid w:val="007F55FC"/>
    <w:rsid w:val="007F5665"/>
    <w:rsid w:val="00800112"/>
    <w:rsid w:val="00807541"/>
    <w:rsid w:val="008253BB"/>
    <w:rsid w:val="0083706E"/>
    <w:rsid w:val="008423A5"/>
    <w:rsid w:val="00850625"/>
    <w:rsid w:val="00853718"/>
    <w:rsid w:val="00855221"/>
    <w:rsid w:val="00860645"/>
    <w:rsid w:val="00871F71"/>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46945"/>
    <w:rsid w:val="00950C80"/>
    <w:rsid w:val="00951248"/>
    <w:rsid w:val="0095152F"/>
    <w:rsid w:val="009524A7"/>
    <w:rsid w:val="00954C49"/>
    <w:rsid w:val="0097099F"/>
    <w:rsid w:val="00971997"/>
    <w:rsid w:val="00971FFC"/>
    <w:rsid w:val="0098660A"/>
    <w:rsid w:val="009931C3"/>
    <w:rsid w:val="009B2C43"/>
    <w:rsid w:val="009B4EAE"/>
    <w:rsid w:val="009B7573"/>
    <w:rsid w:val="009C22F4"/>
    <w:rsid w:val="009C2E98"/>
    <w:rsid w:val="009D3447"/>
    <w:rsid w:val="009D4711"/>
    <w:rsid w:val="009F1185"/>
    <w:rsid w:val="009F18CD"/>
    <w:rsid w:val="009F2A13"/>
    <w:rsid w:val="00A04EB0"/>
    <w:rsid w:val="00A13CC1"/>
    <w:rsid w:val="00A16847"/>
    <w:rsid w:val="00A237D8"/>
    <w:rsid w:val="00A268C4"/>
    <w:rsid w:val="00A3037A"/>
    <w:rsid w:val="00A307CD"/>
    <w:rsid w:val="00A40A00"/>
    <w:rsid w:val="00A4142F"/>
    <w:rsid w:val="00A56DF2"/>
    <w:rsid w:val="00A67AB5"/>
    <w:rsid w:val="00A91760"/>
    <w:rsid w:val="00A93B00"/>
    <w:rsid w:val="00A93C21"/>
    <w:rsid w:val="00AC3C6A"/>
    <w:rsid w:val="00AC7D84"/>
    <w:rsid w:val="00AD0B02"/>
    <w:rsid w:val="00AD5620"/>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77EA6"/>
    <w:rsid w:val="00B81598"/>
    <w:rsid w:val="00B841F1"/>
    <w:rsid w:val="00B944D6"/>
    <w:rsid w:val="00BB4DF0"/>
    <w:rsid w:val="00BC289F"/>
    <w:rsid w:val="00BC5361"/>
    <w:rsid w:val="00BC5460"/>
    <w:rsid w:val="00BC6B50"/>
    <w:rsid w:val="00BD0E25"/>
    <w:rsid w:val="00BF5BD6"/>
    <w:rsid w:val="00C03E31"/>
    <w:rsid w:val="00C24598"/>
    <w:rsid w:val="00C33E72"/>
    <w:rsid w:val="00C354B2"/>
    <w:rsid w:val="00C35554"/>
    <w:rsid w:val="00C42709"/>
    <w:rsid w:val="00C533CC"/>
    <w:rsid w:val="00C5751C"/>
    <w:rsid w:val="00C61BFC"/>
    <w:rsid w:val="00C62B85"/>
    <w:rsid w:val="00C65438"/>
    <w:rsid w:val="00C91CBB"/>
    <w:rsid w:val="00CC09B6"/>
    <w:rsid w:val="00CC666F"/>
    <w:rsid w:val="00CD1E3F"/>
    <w:rsid w:val="00CD6BA1"/>
    <w:rsid w:val="00CE44F6"/>
    <w:rsid w:val="00CE49DA"/>
    <w:rsid w:val="00CE7B61"/>
    <w:rsid w:val="00D00095"/>
    <w:rsid w:val="00D11960"/>
    <w:rsid w:val="00D20620"/>
    <w:rsid w:val="00D26091"/>
    <w:rsid w:val="00D34E7C"/>
    <w:rsid w:val="00D35489"/>
    <w:rsid w:val="00D51276"/>
    <w:rsid w:val="00D7035F"/>
    <w:rsid w:val="00DA65AC"/>
    <w:rsid w:val="00DB1913"/>
    <w:rsid w:val="00DC2BB4"/>
    <w:rsid w:val="00DC410D"/>
    <w:rsid w:val="00DC68CA"/>
    <w:rsid w:val="00DC7CBA"/>
    <w:rsid w:val="00DD73B7"/>
    <w:rsid w:val="00DF28BC"/>
    <w:rsid w:val="00DF34B9"/>
    <w:rsid w:val="00E01053"/>
    <w:rsid w:val="00E07ACF"/>
    <w:rsid w:val="00E331A1"/>
    <w:rsid w:val="00E33202"/>
    <w:rsid w:val="00E336A9"/>
    <w:rsid w:val="00E50624"/>
    <w:rsid w:val="00E568DF"/>
    <w:rsid w:val="00E64269"/>
    <w:rsid w:val="00E82267"/>
    <w:rsid w:val="00EA010F"/>
    <w:rsid w:val="00ED1B63"/>
    <w:rsid w:val="00ED3C1F"/>
    <w:rsid w:val="00ED4085"/>
    <w:rsid w:val="00ED420E"/>
    <w:rsid w:val="00EE2F57"/>
    <w:rsid w:val="00EF4C34"/>
    <w:rsid w:val="00EF77C6"/>
    <w:rsid w:val="00F05438"/>
    <w:rsid w:val="00F1361C"/>
    <w:rsid w:val="00F160C7"/>
    <w:rsid w:val="00F36D8F"/>
    <w:rsid w:val="00F417B1"/>
    <w:rsid w:val="00F602DF"/>
    <w:rsid w:val="00F749A6"/>
    <w:rsid w:val="00F81FD9"/>
    <w:rsid w:val="00F841AA"/>
    <w:rsid w:val="00FA23E8"/>
    <w:rsid w:val="00FD3CC1"/>
    <w:rsid w:val="00FF1E02"/>
    <w:rsid w:val="00FF30B4"/>
    <w:rsid w:val="01034EC8"/>
    <w:rsid w:val="010B17C5"/>
    <w:rsid w:val="011919AE"/>
    <w:rsid w:val="01243567"/>
    <w:rsid w:val="016F4848"/>
    <w:rsid w:val="01920215"/>
    <w:rsid w:val="01BC470C"/>
    <w:rsid w:val="01CE47D9"/>
    <w:rsid w:val="01D55080"/>
    <w:rsid w:val="01E93A63"/>
    <w:rsid w:val="01EF3980"/>
    <w:rsid w:val="02751FE5"/>
    <w:rsid w:val="02965438"/>
    <w:rsid w:val="02AE1810"/>
    <w:rsid w:val="02CF165E"/>
    <w:rsid w:val="02E61C12"/>
    <w:rsid w:val="03826A64"/>
    <w:rsid w:val="03AB681B"/>
    <w:rsid w:val="03D77F5C"/>
    <w:rsid w:val="0491664F"/>
    <w:rsid w:val="04EA172E"/>
    <w:rsid w:val="04FB6EAD"/>
    <w:rsid w:val="05317ABB"/>
    <w:rsid w:val="05461C2F"/>
    <w:rsid w:val="056443B3"/>
    <w:rsid w:val="05812A8F"/>
    <w:rsid w:val="05954469"/>
    <w:rsid w:val="061758BA"/>
    <w:rsid w:val="0640486B"/>
    <w:rsid w:val="06604E4C"/>
    <w:rsid w:val="070A3599"/>
    <w:rsid w:val="07741528"/>
    <w:rsid w:val="07BD46B6"/>
    <w:rsid w:val="07C04B4E"/>
    <w:rsid w:val="08005D61"/>
    <w:rsid w:val="081174A6"/>
    <w:rsid w:val="08597540"/>
    <w:rsid w:val="08A50077"/>
    <w:rsid w:val="08A65C04"/>
    <w:rsid w:val="08EA4021"/>
    <w:rsid w:val="08ED514A"/>
    <w:rsid w:val="09473E50"/>
    <w:rsid w:val="095B749E"/>
    <w:rsid w:val="09D06753"/>
    <w:rsid w:val="09DD6D78"/>
    <w:rsid w:val="09ED7032"/>
    <w:rsid w:val="0A200FF1"/>
    <w:rsid w:val="0A407A09"/>
    <w:rsid w:val="0A50556B"/>
    <w:rsid w:val="0A881F33"/>
    <w:rsid w:val="0AA01126"/>
    <w:rsid w:val="0AA02286"/>
    <w:rsid w:val="0AD50C11"/>
    <w:rsid w:val="0B026524"/>
    <w:rsid w:val="0B6F514A"/>
    <w:rsid w:val="0BB36DE2"/>
    <w:rsid w:val="0C133CC2"/>
    <w:rsid w:val="0CC661E2"/>
    <w:rsid w:val="0D3961B3"/>
    <w:rsid w:val="0D99168D"/>
    <w:rsid w:val="0E45756B"/>
    <w:rsid w:val="0E6E7880"/>
    <w:rsid w:val="0E7B6237"/>
    <w:rsid w:val="0EFE379D"/>
    <w:rsid w:val="0F6266F6"/>
    <w:rsid w:val="0FBE49AB"/>
    <w:rsid w:val="0FD95889"/>
    <w:rsid w:val="0FDB1785"/>
    <w:rsid w:val="10681035"/>
    <w:rsid w:val="10760D1A"/>
    <w:rsid w:val="10C055FF"/>
    <w:rsid w:val="112C51EA"/>
    <w:rsid w:val="113D0E45"/>
    <w:rsid w:val="115531AA"/>
    <w:rsid w:val="1176423A"/>
    <w:rsid w:val="118134D8"/>
    <w:rsid w:val="119340F9"/>
    <w:rsid w:val="11C8356B"/>
    <w:rsid w:val="121F4692"/>
    <w:rsid w:val="125231EC"/>
    <w:rsid w:val="12EE629F"/>
    <w:rsid w:val="131B1156"/>
    <w:rsid w:val="132711AE"/>
    <w:rsid w:val="150D6EE1"/>
    <w:rsid w:val="151A3F0B"/>
    <w:rsid w:val="152250AD"/>
    <w:rsid w:val="15B565A7"/>
    <w:rsid w:val="16347120"/>
    <w:rsid w:val="163F05DA"/>
    <w:rsid w:val="16BB723D"/>
    <w:rsid w:val="16BE3BF5"/>
    <w:rsid w:val="17B033A8"/>
    <w:rsid w:val="17CE198A"/>
    <w:rsid w:val="17F20E71"/>
    <w:rsid w:val="181D4F83"/>
    <w:rsid w:val="187E6D2F"/>
    <w:rsid w:val="18F500C6"/>
    <w:rsid w:val="198842B6"/>
    <w:rsid w:val="199824FD"/>
    <w:rsid w:val="19B14FC4"/>
    <w:rsid w:val="1A2B3EA4"/>
    <w:rsid w:val="1A353043"/>
    <w:rsid w:val="1A642189"/>
    <w:rsid w:val="1B002B91"/>
    <w:rsid w:val="1B0157A5"/>
    <w:rsid w:val="1B3E04B5"/>
    <w:rsid w:val="1B570D62"/>
    <w:rsid w:val="1B6001F6"/>
    <w:rsid w:val="1B8C1FB0"/>
    <w:rsid w:val="1B9F21EB"/>
    <w:rsid w:val="1C204758"/>
    <w:rsid w:val="1C562DA9"/>
    <w:rsid w:val="1C741FB0"/>
    <w:rsid w:val="1C74285D"/>
    <w:rsid w:val="1CF04C97"/>
    <w:rsid w:val="1CF300A0"/>
    <w:rsid w:val="1D011676"/>
    <w:rsid w:val="1D4E5430"/>
    <w:rsid w:val="1DC24D16"/>
    <w:rsid w:val="1DCE4128"/>
    <w:rsid w:val="1E1E17A1"/>
    <w:rsid w:val="1E2F1C42"/>
    <w:rsid w:val="1E5A7C14"/>
    <w:rsid w:val="1E620D2E"/>
    <w:rsid w:val="1E6A5CD1"/>
    <w:rsid w:val="1EF62E5E"/>
    <w:rsid w:val="1F87722A"/>
    <w:rsid w:val="1FAB5F03"/>
    <w:rsid w:val="1FB61385"/>
    <w:rsid w:val="1FBD6868"/>
    <w:rsid w:val="1FCD7ECD"/>
    <w:rsid w:val="203E1B42"/>
    <w:rsid w:val="20763734"/>
    <w:rsid w:val="20B73E6C"/>
    <w:rsid w:val="20D80507"/>
    <w:rsid w:val="20F548E8"/>
    <w:rsid w:val="213B438C"/>
    <w:rsid w:val="21A06337"/>
    <w:rsid w:val="21A105E5"/>
    <w:rsid w:val="21DF1EC8"/>
    <w:rsid w:val="22B76921"/>
    <w:rsid w:val="22B93F12"/>
    <w:rsid w:val="22FA2D29"/>
    <w:rsid w:val="231C04BB"/>
    <w:rsid w:val="237F4C32"/>
    <w:rsid w:val="23AF3A37"/>
    <w:rsid w:val="23F72494"/>
    <w:rsid w:val="240371BF"/>
    <w:rsid w:val="242D3420"/>
    <w:rsid w:val="24F22AF5"/>
    <w:rsid w:val="25031701"/>
    <w:rsid w:val="2570212A"/>
    <w:rsid w:val="25FB649F"/>
    <w:rsid w:val="26446526"/>
    <w:rsid w:val="27183C34"/>
    <w:rsid w:val="27354518"/>
    <w:rsid w:val="273711A6"/>
    <w:rsid w:val="27782C2D"/>
    <w:rsid w:val="27895163"/>
    <w:rsid w:val="278B42EF"/>
    <w:rsid w:val="27AB2125"/>
    <w:rsid w:val="281E3C8D"/>
    <w:rsid w:val="28212B16"/>
    <w:rsid w:val="283077B3"/>
    <w:rsid w:val="28670FB3"/>
    <w:rsid w:val="28770D6D"/>
    <w:rsid w:val="288057B1"/>
    <w:rsid w:val="28AB6699"/>
    <w:rsid w:val="299F53B6"/>
    <w:rsid w:val="29ED6CDE"/>
    <w:rsid w:val="29FD04D3"/>
    <w:rsid w:val="2A5162E8"/>
    <w:rsid w:val="2A7706BE"/>
    <w:rsid w:val="2AD20D81"/>
    <w:rsid w:val="2B4D670C"/>
    <w:rsid w:val="2B5529BB"/>
    <w:rsid w:val="2C431A86"/>
    <w:rsid w:val="2C7F056F"/>
    <w:rsid w:val="2D230FAA"/>
    <w:rsid w:val="2D415E95"/>
    <w:rsid w:val="2D84570A"/>
    <w:rsid w:val="2D9538DE"/>
    <w:rsid w:val="2E9D658E"/>
    <w:rsid w:val="2F5001B1"/>
    <w:rsid w:val="303A76A7"/>
    <w:rsid w:val="307967F4"/>
    <w:rsid w:val="30880FFE"/>
    <w:rsid w:val="31051472"/>
    <w:rsid w:val="3134547A"/>
    <w:rsid w:val="314802F7"/>
    <w:rsid w:val="317C1F89"/>
    <w:rsid w:val="319F7F4E"/>
    <w:rsid w:val="31C56802"/>
    <w:rsid w:val="31E65D5F"/>
    <w:rsid w:val="31EF706D"/>
    <w:rsid w:val="32027CB7"/>
    <w:rsid w:val="32091C42"/>
    <w:rsid w:val="32146405"/>
    <w:rsid w:val="326F56CF"/>
    <w:rsid w:val="32B35EEE"/>
    <w:rsid w:val="32B625B2"/>
    <w:rsid w:val="32F93BCC"/>
    <w:rsid w:val="338C6091"/>
    <w:rsid w:val="33C47450"/>
    <w:rsid w:val="340B2E1F"/>
    <w:rsid w:val="342A57DF"/>
    <w:rsid w:val="34543F34"/>
    <w:rsid w:val="34A6119A"/>
    <w:rsid w:val="34BC2DB0"/>
    <w:rsid w:val="34C96C78"/>
    <w:rsid w:val="35A1472D"/>
    <w:rsid w:val="36205233"/>
    <w:rsid w:val="362C4687"/>
    <w:rsid w:val="36A208EA"/>
    <w:rsid w:val="36E75360"/>
    <w:rsid w:val="36EF29F0"/>
    <w:rsid w:val="375A15B3"/>
    <w:rsid w:val="384A300E"/>
    <w:rsid w:val="393D27B3"/>
    <w:rsid w:val="394A375F"/>
    <w:rsid w:val="39A44EE4"/>
    <w:rsid w:val="39B04901"/>
    <w:rsid w:val="3A0C761D"/>
    <w:rsid w:val="3A1725E4"/>
    <w:rsid w:val="3A591139"/>
    <w:rsid w:val="3A8C0AB9"/>
    <w:rsid w:val="3A9F08D5"/>
    <w:rsid w:val="3B87765A"/>
    <w:rsid w:val="3B932471"/>
    <w:rsid w:val="3BA67A58"/>
    <w:rsid w:val="3BC16654"/>
    <w:rsid w:val="3C354B24"/>
    <w:rsid w:val="3C372387"/>
    <w:rsid w:val="3CB10742"/>
    <w:rsid w:val="3CD87443"/>
    <w:rsid w:val="3D0F3C11"/>
    <w:rsid w:val="3DE05963"/>
    <w:rsid w:val="3EF76CFA"/>
    <w:rsid w:val="3FB376B6"/>
    <w:rsid w:val="3FBA3FD3"/>
    <w:rsid w:val="3FE733ED"/>
    <w:rsid w:val="401E291A"/>
    <w:rsid w:val="4048788F"/>
    <w:rsid w:val="405A51AE"/>
    <w:rsid w:val="40920E20"/>
    <w:rsid w:val="412D67B4"/>
    <w:rsid w:val="41A76640"/>
    <w:rsid w:val="41B83AE9"/>
    <w:rsid w:val="41F76BD0"/>
    <w:rsid w:val="421D09C4"/>
    <w:rsid w:val="426C604F"/>
    <w:rsid w:val="428A675A"/>
    <w:rsid w:val="42EA3D16"/>
    <w:rsid w:val="43C73DDF"/>
    <w:rsid w:val="442A7AF4"/>
    <w:rsid w:val="45452CA2"/>
    <w:rsid w:val="4581635F"/>
    <w:rsid w:val="46C840DE"/>
    <w:rsid w:val="47B03C49"/>
    <w:rsid w:val="47BE5FDE"/>
    <w:rsid w:val="47EB1951"/>
    <w:rsid w:val="481327D5"/>
    <w:rsid w:val="48253782"/>
    <w:rsid w:val="482B0C9C"/>
    <w:rsid w:val="48331FDC"/>
    <w:rsid w:val="48610ADB"/>
    <w:rsid w:val="491B072E"/>
    <w:rsid w:val="49324E2D"/>
    <w:rsid w:val="496736CE"/>
    <w:rsid w:val="49B657E7"/>
    <w:rsid w:val="4A45144D"/>
    <w:rsid w:val="4A806BE2"/>
    <w:rsid w:val="4A83616A"/>
    <w:rsid w:val="4B3234DE"/>
    <w:rsid w:val="4B550EF5"/>
    <w:rsid w:val="4B8E243A"/>
    <w:rsid w:val="4BAD7AE2"/>
    <w:rsid w:val="4BB675E5"/>
    <w:rsid w:val="4C1B373B"/>
    <w:rsid w:val="4C491263"/>
    <w:rsid w:val="4C566BB5"/>
    <w:rsid w:val="4C7D4A83"/>
    <w:rsid w:val="4C9849A8"/>
    <w:rsid w:val="4CC52303"/>
    <w:rsid w:val="4D1A0BF0"/>
    <w:rsid w:val="4D627EC9"/>
    <w:rsid w:val="4DC32A1D"/>
    <w:rsid w:val="4DD36BCB"/>
    <w:rsid w:val="4DE36185"/>
    <w:rsid w:val="4E021942"/>
    <w:rsid w:val="4E610A16"/>
    <w:rsid w:val="4E707A9C"/>
    <w:rsid w:val="4EDA0917"/>
    <w:rsid w:val="4F3807B5"/>
    <w:rsid w:val="4F495B29"/>
    <w:rsid w:val="4F551217"/>
    <w:rsid w:val="4FAB4BCC"/>
    <w:rsid w:val="4FF91886"/>
    <w:rsid w:val="501E2DEE"/>
    <w:rsid w:val="502F252C"/>
    <w:rsid w:val="50404DF2"/>
    <w:rsid w:val="50E84D6D"/>
    <w:rsid w:val="50EB773A"/>
    <w:rsid w:val="516519BD"/>
    <w:rsid w:val="51B00D68"/>
    <w:rsid w:val="51EB2335"/>
    <w:rsid w:val="524471D3"/>
    <w:rsid w:val="52837999"/>
    <w:rsid w:val="52BC4840"/>
    <w:rsid w:val="539342A8"/>
    <w:rsid w:val="53C716A4"/>
    <w:rsid w:val="547C6838"/>
    <w:rsid w:val="54C36230"/>
    <w:rsid w:val="55824B1B"/>
    <w:rsid w:val="55D82D0E"/>
    <w:rsid w:val="561F5F4B"/>
    <w:rsid w:val="56237571"/>
    <w:rsid w:val="56B67DEE"/>
    <w:rsid w:val="56C50E5B"/>
    <w:rsid w:val="56F26484"/>
    <w:rsid w:val="570F2B9E"/>
    <w:rsid w:val="578F5DF7"/>
    <w:rsid w:val="5799664C"/>
    <w:rsid w:val="57E20A00"/>
    <w:rsid w:val="58411123"/>
    <w:rsid w:val="586501BB"/>
    <w:rsid w:val="58AB3806"/>
    <w:rsid w:val="58C2469E"/>
    <w:rsid w:val="5AF27125"/>
    <w:rsid w:val="5B2D2D6E"/>
    <w:rsid w:val="5B5E709C"/>
    <w:rsid w:val="5B693AAB"/>
    <w:rsid w:val="5C165D08"/>
    <w:rsid w:val="5C435A29"/>
    <w:rsid w:val="5C7371CE"/>
    <w:rsid w:val="5C7F6773"/>
    <w:rsid w:val="5CCF5817"/>
    <w:rsid w:val="5CE93AB2"/>
    <w:rsid w:val="5D401C62"/>
    <w:rsid w:val="5D771434"/>
    <w:rsid w:val="5DD55A0A"/>
    <w:rsid w:val="5DDF7CE8"/>
    <w:rsid w:val="5E070443"/>
    <w:rsid w:val="5E102840"/>
    <w:rsid w:val="5E70527F"/>
    <w:rsid w:val="5E7D126D"/>
    <w:rsid w:val="5EEA67FB"/>
    <w:rsid w:val="5EFA1EBE"/>
    <w:rsid w:val="5FF6244F"/>
    <w:rsid w:val="600E5366"/>
    <w:rsid w:val="61DF2159"/>
    <w:rsid w:val="621711C8"/>
    <w:rsid w:val="624668FA"/>
    <w:rsid w:val="631D40C4"/>
    <w:rsid w:val="63441F10"/>
    <w:rsid w:val="63A61080"/>
    <w:rsid w:val="643A6735"/>
    <w:rsid w:val="645310B6"/>
    <w:rsid w:val="64A55079"/>
    <w:rsid w:val="64A87702"/>
    <w:rsid w:val="653F608D"/>
    <w:rsid w:val="655E76FF"/>
    <w:rsid w:val="67457928"/>
    <w:rsid w:val="677E5B56"/>
    <w:rsid w:val="67D53C6D"/>
    <w:rsid w:val="6809062D"/>
    <w:rsid w:val="68654C9D"/>
    <w:rsid w:val="68A4353B"/>
    <w:rsid w:val="6932440A"/>
    <w:rsid w:val="696753F0"/>
    <w:rsid w:val="6A0402D4"/>
    <w:rsid w:val="6A4A424E"/>
    <w:rsid w:val="6A641012"/>
    <w:rsid w:val="6ACD6338"/>
    <w:rsid w:val="6B2F0921"/>
    <w:rsid w:val="6BCD2F36"/>
    <w:rsid w:val="6BE0081D"/>
    <w:rsid w:val="6CB57B52"/>
    <w:rsid w:val="6CDE040C"/>
    <w:rsid w:val="6D647F8A"/>
    <w:rsid w:val="6D9A25A2"/>
    <w:rsid w:val="6DDE3358"/>
    <w:rsid w:val="6E372FC6"/>
    <w:rsid w:val="6E8977A6"/>
    <w:rsid w:val="6ECA416D"/>
    <w:rsid w:val="6EFA4879"/>
    <w:rsid w:val="6F294A9A"/>
    <w:rsid w:val="6F814362"/>
    <w:rsid w:val="6F9338DF"/>
    <w:rsid w:val="6F9E463B"/>
    <w:rsid w:val="6FA55A8F"/>
    <w:rsid w:val="6FEF7FC3"/>
    <w:rsid w:val="70E83C44"/>
    <w:rsid w:val="70F17D45"/>
    <w:rsid w:val="712A2809"/>
    <w:rsid w:val="72012F96"/>
    <w:rsid w:val="725C6195"/>
    <w:rsid w:val="727241CC"/>
    <w:rsid w:val="72913321"/>
    <w:rsid w:val="73003E6E"/>
    <w:rsid w:val="735E3650"/>
    <w:rsid w:val="737B1465"/>
    <w:rsid w:val="73EC61F6"/>
    <w:rsid w:val="741F1D3A"/>
    <w:rsid w:val="74392591"/>
    <w:rsid w:val="74D931B0"/>
    <w:rsid w:val="74EF48D3"/>
    <w:rsid w:val="75050295"/>
    <w:rsid w:val="75493DAF"/>
    <w:rsid w:val="760B4B0B"/>
    <w:rsid w:val="761C231B"/>
    <w:rsid w:val="765C58A5"/>
    <w:rsid w:val="767375D3"/>
    <w:rsid w:val="76747524"/>
    <w:rsid w:val="77915975"/>
    <w:rsid w:val="77C33D86"/>
    <w:rsid w:val="77DB2C60"/>
    <w:rsid w:val="78F116F3"/>
    <w:rsid w:val="79557831"/>
    <w:rsid w:val="79806F26"/>
    <w:rsid w:val="79B56612"/>
    <w:rsid w:val="7A7827C6"/>
    <w:rsid w:val="7A917320"/>
    <w:rsid w:val="7A97670C"/>
    <w:rsid w:val="7AD36E05"/>
    <w:rsid w:val="7B2B5432"/>
    <w:rsid w:val="7B2D1247"/>
    <w:rsid w:val="7B8934F3"/>
    <w:rsid w:val="7B8B4B71"/>
    <w:rsid w:val="7C5609B1"/>
    <w:rsid w:val="7C740AB9"/>
    <w:rsid w:val="7C857B66"/>
    <w:rsid w:val="7D696012"/>
    <w:rsid w:val="7DC236BE"/>
    <w:rsid w:val="7E3B71C1"/>
    <w:rsid w:val="7F370CED"/>
    <w:rsid w:val="7F426367"/>
    <w:rsid w:val="7FEA7C70"/>
    <w:rsid w:val="7FEBF501"/>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5"/>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9"/>
    <w:unhideWhenUsed/>
    <w:qFormat/>
    <w:uiPriority w:val="9"/>
    <w:pPr>
      <w:keepNext/>
      <w:keepLines/>
      <w:spacing w:before="260" w:after="260" w:line="416" w:lineRule="auto"/>
      <w:outlineLvl w:val="2"/>
    </w:pPr>
    <w:rPr>
      <w:b/>
      <w:bCs/>
      <w:sz w:val="32"/>
      <w:szCs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link w:val="22"/>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8"/>
    <w:semiHidden/>
    <w:unhideWhenUsed/>
    <w:qFormat/>
    <w:uiPriority w:val="99"/>
    <w:rPr>
      <w:sz w:val="18"/>
      <w:szCs w:val="18"/>
    </w:rPr>
  </w:style>
  <w:style w:type="paragraph" w:styleId="8">
    <w:name w:val="footer"/>
    <w:basedOn w:val="1"/>
    <w:link w:val="20"/>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8"/>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paragraph" w:styleId="12">
    <w:name w:val="Normal (Web)"/>
    <w:basedOn w:val="1"/>
    <w:unhideWhenUsed/>
    <w:qFormat/>
    <w:uiPriority w:val="99"/>
    <w:pPr>
      <w:spacing w:before="0" w:beforeAutospacing="1" w:after="0" w:afterAutospacing="1"/>
      <w:ind w:left="0" w:right="0"/>
      <w:jc w:val="left"/>
    </w:pPr>
    <w:rPr>
      <w:kern w:val="0"/>
      <w:sz w:val="24"/>
      <w:lang w:val="en-US" w:eastAsia="zh-CN" w:bidi="ar"/>
    </w:rPr>
  </w:style>
  <w:style w:type="character" w:styleId="15">
    <w:name w:val="Strong"/>
    <w:basedOn w:val="14"/>
    <w:qFormat/>
    <w:uiPriority w:val="99"/>
    <w:rPr>
      <w:b/>
    </w:rPr>
  </w:style>
  <w:style w:type="character" w:styleId="16">
    <w:name w:val="Hyperlink"/>
    <w:basedOn w:val="14"/>
    <w:unhideWhenUsed/>
    <w:qFormat/>
    <w:uiPriority w:val="99"/>
    <w:rPr>
      <w:color w:val="0000FF" w:themeColor="hyperlink"/>
      <w:u w:val="single"/>
      <w14:textFill>
        <w14:solidFill>
          <w14:schemeClr w14:val="hlink"/>
        </w14:solidFill>
      </w14:textFill>
    </w:rPr>
  </w:style>
  <w:style w:type="character" w:customStyle="1" w:styleId="17">
    <w:name w:val="Header Char"/>
    <w:basedOn w:val="14"/>
    <w:semiHidden/>
    <w:qFormat/>
    <w:uiPriority w:val="99"/>
    <w:rPr>
      <w:rFonts w:ascii="Times New Roman" w:hAnsi="Times New Roman"/>
      <w:sz w:val="18"/>
      <w:szCs w:val="18"/>
    </w:rPr>
  </w:style>
  <w:style w:type="character" w:customStyle="1" w:styleId="18">
    <w:name w:val="页眉 Char"/>
    <w:link w:val="9"/>
    <w:semiHidden/>
    <w:qFormat/>
    <w:locked/>
    <w:uiPriority w:val="99"/>
    <w:rPr>
      <w:sz w:val="18"/>
    </w:rPr>
  </w:style>
  <w:style w:type="character" w:customStyle="1" w:styleId="19">
    <w:name w:val="Footer Char"/>
    <w:basedOn w:val="14"/>
    <w:semiHidden/>
    <w:qFormat/>
    <w:uiPriority w:val="99"/>
    <w:rPr>
      <w:rFonts w:ascii="Times New Roman" w:hAnsi="Times New Roman"/>
      <w:sz w:val="18"/>
      <w:szCs w:val="18"/>
    </w:rPr>
  </w:style>
  <w:style w:type="character" w:customStyle="1" w:styleId="20">
    <w:name w:val="页脚 Char"/>
    <w:link w:val="8"/>
    <w:qFormat/>
    <w:locked/>
    <w:uiPriority w:val="99"/>
    <w:rPr>
      <w:sz w:val="18"/>
    </w:rPr>
  </w:style>
  <w:style w:type="character" w:customStyle="1" w:styleId="21">
    <w:name w:val="Body Text Char"/>
    <w:basedOn w:val="14"/>
    <w:semiHidden/>
    <w:qFormat/>
    <w:uiPriority w:val="99"/>
    <w:rPr>
      <w:rFonts w:ascii="Times New Roman" w:hAnsi="Times New Roman"/>
      <w:szCs w:val="24"/>
    </w:rPr>
  </w:style>
  <w:style w:type="character" w:customStyle="1" w:styleId="22">
    <w:name w:val="正文文本 Char"/>
    <w:link w:val="2"/>
    <w:qFormat/>
    <w:locked/>
    <w:uiPriority w:val="99"/>
    <w:rPr>
      <w:rFonts w:ascii="仿宋_GB2312" w:hAnsi="Times New Roman" w:eastAsia="仿宋_GB2312"/>
      <w:sz w:val="24"/>
    </w:rPr>
  </w:style>
  <w:style w:type="paragraph" w:customStyle="1" w:styleId="23">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4">
    <w:name w:val="List Paragraph"/>
    <w:basedOn w:val="1"/>
    <w:qFormat/>
    <w:uiPriority w:val="34"/>
    <w:pPr>
      <w:ind w:firstLine="420" w:firstLineChars="200"/>
    </w:pPr>
  </w:style>
  <w:style w:type="character" w:customStyle="1" w:styleId="25">
    <w:name w:val="标题 1 Char"/>
    <w:basedOn w:val="14"/>
    <w:link w:val="3"/>
    <w:qFormat/>
    <w:uiPriority w:val="9"/>
    <w:rPr>
      <w:rFonts w:ascii="Times New Roman" w:hAnsi="Times New Roman"/>
      <w:b/>
      <w:bCs/>
      <w:kern w:val="44"/>
      <w:sz w:val="44"/>
      <w:szCs w:val="44"/>
    </w:rPr>
  </w:style>
  <w:style w:type="character" w:customStyle="1" w:styleId="26">
    <w:name w:val="标题 2 Char"/>
    <w:basedOn w:val="14"/>
    <w:link w:val="4"/>
    <w:qFormat/>
    <w:uiPriority w:val="9"/>
    <w:rPr>
      <w:rFonts w:asciiTheme="majorHAnsi" w:hAnsiTheme="majorHAnsi" w:eastAsiaTheme="majorEastAsia" w:cstheme="majorBidi"/>
      <w:b/>
      <w:bCs/>
      <w:kern w:val="2"/>
      <w:sz w:val="32"/>
      <w:szCs w:val="32"/>
    </w:rPr>
  </w:style>
  <w:style w:type="paragraph" w:customStyle="1" w:styleId="27">
    <w:name w:val="TOC Heading"/>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8">
    <w:name w:val="批注框文本 Char"/>
    <w:basedOn w:val="14"/>
    <w:link w:val="7"/>
    <w:semiHidden/>
    <w:qFormat/>
    <w:uiPriority w:val="99"/>
    <w:rPr>
      <w:rFonts w:ascii="Times New Roman" w:hAnsi="Times New Roman"/>
      <w:kern w:val="2"/>
      <w:sz w:val="18"/>
      <w:szCs w:val="18"/>
    </w:rPr>
  </w:style>
  <w:style w:type="character" w:customStyle="1" w:styleId="29">
    <w:name w:val="标题 3 Char"/>
    <w:basedOn w:val="14"/>
    <w:link w:val="5"/>
    <w:qFormat/>
    <w:uiPriority w:val="9"/>
    <w:rPr>
      <w:rFonts w:ascii="Times New Roman" w:hAnsi="Times New Roman"/>
      <w:b/>
      <w:bCs/>
      <w:kern w:val="2"/>
      <w:sz w:val="32"/>
      <w:szCs w:val="32"/>
    </w:rPr>
  </w:style>
  <w:style w:type="paragraph" w:customStyle="1" w:styleId="30">
    <w:name w:val="常用样式（方正仿宋简）"/>
    <w:basedOn w:val="1"/>
    <w:next w:val="1"/>
    <w:qFormat/>
    <w:uiPriority w:val="99"/>
    <w:pPr>
      <w:spacing w:line="560" w:lineRule="exact"/>
      <w:ind w:firstLine="640" w:firstLineChars="200"/>
    </w:p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4.xlsx"/></Relationships>
</file>

<file path=word/charts/_rels/chart3.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5.xlsx"/></Relationships>
</file>

<file path=word/charts/_rels/chart4.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6.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6.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package" Target="../embeddings/Workbook7.xlsx"/></Relationships>
</file>

<file path=word/charts/_rels/chart7.xml.rels><?xml version="1.0" encoding="UTF-8" standalone="yes"?>
<Relationships xmlns="http://schemas.openxmlformats.org/package/2006/relationships"><Relationship Id="rId1" Type="http://schemas.openxmlformats.org/officeDocument/2006/relationships/package" Target="../embeddings/Workbook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940595587100756"/>
          <c:y val="0.0492842055855433"/>
          <c:w val="0.868909118963123"/>
          <c:h val="0.728561370570289"/>
        </c:manualLayout>
      </c:layout>
      <c:barChart>
        <c:barDir val="col"/>
        <c:grouping val="clustered"/>
        <c:varyColors val="0"/>
        <c:ser>
          <c:idx val="0"/>
          <c:order val="0"/>
          <c:tx>
            <c:strRef>
              <c:f>Sheet1!$B$1</c:f>
              <c:strCache>
                <c:ptCount val="1"/>
                <c:pt idx="0">
                  <c:v>收入</c:v>
                </c:pt>
              </c:strCache>
            </c:strRef>
          </c:tx>
          <c:spPr>
            <a:solidFill>
              <a:schemeClr val="accent1"/>
            </a:solidFill>
            <a:ln>
              <a:noFill/>
            </a:ln>
            <a:effectLst/>
          </c:spPr>
          <c:invertIfNegative val="0"/>
          <c:dLbls>
            <c:delete val="1"/>
          </c:dLbls>
          <c:cat>
            <c:numRef>
              <c:extLst>
                <c:ext xmlns:c15="http://schemas.microsoft.com/office/drawing/2012/chart" uri="{02D57815-91ED-43cb-92C2-25804820EDAC}">
                  <c15:fullRef>
                    <c15:sqref>Sheet1!$A$2:$A$5</c15:sqref>
                  </c15:fullRef>
                </c:ext>
              </c:extLst>
              <c:f>Sheet1!$A$2:$A$3</c:f>
              <c:numCache>
                <c:formatCode>General</c:formatCode>
                <c:ptCount val="2"/>
                <c:pt idx="0">
                  <c:v>2020</c:v>
                </c:pt>
                <c:pt idx="1">
                  <c:v>2021</c:v>
                </c:pt>
              </c:numCache>
            </c:numRef>
          </c:cat>
          <c:val>
            <c:numRef>
              <c:extLst>
                <c:ext xmlns:c15="http://schemas.microsoft.com/office/drawing/2012/chart" uri="{02D57815-91ED-43cb-92C2-25804820EDAC}">
                  <c15:fullRef>
                    <c15:sqref>Sheet1!$B$2:$B$5</c15:sqref>
                  </c15:fullRef>
                </c:ext>
              </c:extLst>
              <c:f>Sheet1!$B$2:$B$3</c:f>
              <c:numCache>
                <c:formatCode>General</c:formatCode>
                <c:ptCount val="2"/>
                <c:pt idx="0">
                  <c:v>1390.12</c:v>
                </c:pt>
                <c:pt idx="1">
                  <c:v>1664.8</c:v>
                </c:pt>
              </c:numCache>
            </c:numRef>
          </c:val>
        </c:ser>
        <c:ser>
          <c:idx val="1"/>
          <c:order val="1"/>
          <c:tx>
            <c:strRef>
              <c:f>Sheet1!$C$1</c:f>
              <c:strCache>
                <c:ptCount val="1"/>
                <c:pt idx="0">
                  <c:v>支出</c:v>
                </c:pt>
              </c:strCache>
            </c:strRef>
          </c:tx>
          <c:spPr>
            <a:solidFill>
              <a:schemeClr val="accent2"/>
            </a:solidFill>
            <a:ln>
              <a:noFill/>
            </a:ln>
            <a:effectLst/>
          </c:spPr>
          <c:invertIfNegative val="0"/>
          <c:dLbls>
            <c:delete val="1"/>
          </c:dLbls>
          <c:cat>
            <c:numRef>
              <c:extLst>
                <c:ext xmlns:c15="http://schemas.microsoft.com/office/drawing/2012/chart" uri="{02D57815-91ED-43cb-92C2-25804820EDAC}">
                  <c15:fullRef>
                    <c15:sqref>Sheet1!$A$2:$A$5</c15:sqref>
                  </c15:fullRef>
                </c:ext>
              </c:extLst>
              <c:f>Sheet1!$A$2:$A$3</c:f>
              <c:numCache>
                <c:formatCode>General</c:formatCode>
                <c:ptCount val="2"/>
                <c:pt idx="0">
                  <c:v>2020</c:v>
                </c:pt>
                <c:pt idx="1">
                  <c:v>2021</c:v>
                </c:pt>
              </c:numCache>
            </c:numRef>
          </c:cat>
          <c:val>
            <c:numRef>
              <c:extLst>
                <c:ext xmlns:c15="http://schemas.microsoft.com/office/drawing/2012/chart" uri="{02D57815-91ED-43cb-92C2-25804820EDAC}">
                  <c15:fullRef>
                    <c15:sqref>Sheet1!$C$2:$C$5</c15:sqref>
                  </c15:fullRef>
                </c:ext>
              </c:extLst>
              <c:f>Sheet1!$C$2:$C$3</c:f>
              <c:numCache>
                <c:formatCode>General</c:formatCode>
                <c:ptCount val="2"/>
                <c:pt idx="0">
                  <c:v>1390.12</c:v>
                </c:pt>
                <c:pt idx="1">
                  <c:v>1664.8</c:v>
                </c:pt>
              </c:numCache>
            </c:numRef>
          </c:val>
        </c:ser>
        <c:dLbls>
          <c:showLegendKey val="0"/>
          <c:showVal val="0"/>
          <c:showCatName val="0"/>
          <c:showSerName val="0"/>
          <c:showPercent val="0"/>
          <c:showBubbleSize val="0"/>
        </c:dLbls>
        <c:gapWidth val="219"/>
        <c:overlap val="-27"/>
        <c:axId val="89377597"/>
        <c:axId val="614475026"/>
        <c:extLst>
          <c:ext xmlns:c15="http://schemas.microsoft.com/office/drawing/2012/chart" uri="{02D57815-91ED-43cb-92C2-25804820EDAC}">
            <c15:filteredBarSeries>
              <c15:ser>
                <c:idx val="2"/>
                <c:order val="2"/>
                <c:tx>
                  <c:strRef>
                    <c:extLst>
                      <c:ext uri="{02D57815-91ED-43cb-92C2-25804820EDAC}">
                        <c15:formulaRef>
                          <c15:sqref>Sheet1!$D$1</c15:sqref>
                        </c15:formulaRef>
                      </c:ext>
                    </c:extLst>
                    <c:strCache>
                      <c:ptCount val="1"/>
                      <c:pt idx="0">
                        <c:v/>
                      </c:pt>
                    </c:strCache>
                  </c:strRef>
                </c:tx>
                <c:spPr>
                  <a:solidFill>
                    <a:schemeClr val="accent3"/>
                  </a:solidFill>
                  <a:ln>
                    <a:noFill/>
                  </a:ln>
                  <a:effectLst/>
                </c:spPr>
                <c:invertIfNegative val="0"/>
                <c:dLbls>
                  <c:delete val="1"/>
                </c:dLbls>
                <c:cat>
                  <c:numRef>
                    <c:extLst>
                      <c:ext uri="{02D57815-91ED-43cb-92C2-25804820EDAC}">
                        <c15:fullRef>
                          <c15:sqref>Sheet1!$A$2:$A$5</c15:sqref>
                        </c15:fullRef>
                        <c15:formulaRef>
                          <c15:sqref>Sheet1!$A$2:$A$3</c15:sqref>
                        </c15:formulaRef>
                      </c:ext>
                    </c:extLst>
                    <c:numCache>
                      <c:formatCode>General</c:formatCode>
                      <c:ptCount val="2"/>
                      <c:pt idx="0">
                        <c:v>2020</c:v>
                      </c:pt>
                      <c:pt idx="1">
                        <c:v>2021</c:v>
                      </c:pt>
                    </c:numCache>
                  </c:numRef>
                </c:cat>
                <c:val>
                  <c:numRef>
                    <c:extLst>
                      <c:ext uri="{02D57815-91ED-43cb-92C2-25804820EDAC}">
                        <c15:fullRef>
                          <c15:sqref>Sheet1!$D$2:$D$5</c15:sqref>
                        </c15:fullRef>
                        <c15:formulaRef>
                          <c15:sqref>Sheet1!$D$2:$D$3</c15:sqref>
                        </c15:formulaRef>
                      </c:ext>
                    </c:extLst>
                    <c:numCache>
                      <c:formatCode>General</c:formatCode>
                      <c:ptCount val="2"/>
                    </c:numCache>
                  </c:numRef>
                </c:val>
              </c15:ser>
            </c15:filteredBarSeries>
          </c:ext>
        </c:extLst>
      </c:barChart>
      <c:catAx>
        <c:axId val="89377597"/>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14475026"/>
        <c:crosses val="autoZero"/>
        <c:auto val="1"/>
        <c:lblAlgn val="ctr"/>
        <c:lblOffset val="100"/>
        <c:noMultiLvlLbl val="0"/>
      </c:catAx>
      <c:valAx>
        <c:axId val="61447502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9377597"/>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收入决算结构图</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Lbls>
            <c:delete val="1"/>
          </c:dLbls>
          <c:cat>
            <c:strRef>
              <c:f>Sheet1!$A$2:$A$6</c:f>
              <c:strCache>
                <c:ptCount val="5"/>
                <c:pt idx="0">
                  <c:v>一般公共预算财政拨款收入</c:v>
                </c:pt>
                <c:pt idx="1">
                  <c:v>政府性基金预算财政拨款收入</c:v>
                </c:pt>
                <c:pt idx="2">
                  <c:v>上级补助收入</c:v>
                </c:pt>
                <c:pt idx="3">
                  <c:v>事业收入</c:v>
                </c:pt>
                <c:pt idx="4">
                  <c:v>其他收入</c:v>
                </c:pt>
              </c:strCache>
            </c:strRef>
          </c:cat>
          <c:val>
            <c:numRef>
              <c:f>Sheet1!$B$2:$B$6</c:f>
              <c:numCache>
                <c:formatCode>General</c:formatCode>
                <c:ptCount val="5"/>
                <c:pt idx="0">
                  <c:v>100</c:v>
                </c:pt>
                <c:pt idx="1">
                  <c:v>0</c:v>
                </c:pt>
                <c:pt idx="2">
                  <c:v>0</c:v>
                </c:pt>
                <c:pt idx="3">
                  <c:v>0</c:v>
                </c:pt>
                <c:pt idx="4">
                  <c:v>0</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支出决算结构图</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Lbls>
            <c:delete val="1"/>
          </c:dLbls>
          <c:cat>
            <c:strRef>
              <c:f>Sheet1!$A$2:$A$6</c:f>
              <c:strCache>
                <c:ptCount val="5"/>
                <c:pt idx="0">
                  <c:v>基本支出</c:v>
                </c:pt>
                <c:pt idx="1">
                  <c:v>项目支出</c:v>
                </c:pt>
                <c:pt idx="2">
                  <c:v>上缴上级支出</c:v>
                </c:pt>
                <c:pt idx="3">
                  <c:v>经营支出</c:v>
                </c:pt>
                <c:pt idx="4">
                  <c:v>对附属单位补助支出</c:v>
                </c:pt>
              </c:strCache>
            </c:strRef>
          </c:cat>
          <c:val>
            <c:numRef>
              <c:f>Sheet1!$B$2:$B$6</c:f>
              <c:numCache>
                <c:formatCode>General</c:formatCode>
                <c:ptCount val="5"/>
                <c:pt idx="0">
                  <c:v>82.6</c:v>
                </c:pt>
                <c:pt idx="1">
                  <c:v>17.4</c:v>
                </c:pt>
                <c:pt idx="2">
                  <c:v>0</c:v>
                </c:pt>
                <c:pt idx="3">
                  <c:v>0</c:v>
                </c:pt>
                <c:pt idx="4">
                  <c:v>0</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收入</c:v>
                </c:pt>
              </c:strCache>
            </c:strRef>
          </c:tx>
          <c:spPr>
            <a:solidFill>
              <a:schemeClr val="accent1"/>
            </a:solidFill>
            <a:ln>
              <a:noFill/>
            </a:ln>
            <a:effectLst/>
          </c:spPr>
          <c:invertIfNegative val="0"/>
          <c:dLbls>
            <c:delete val="1"/>
          </c:dLbls>
          <c:cat>
            <c:strRef>
              <c:f>Sheet1!$A$2:$A$6</c:f>
              <c:strCache>
                <c:ptCount val="5"/>
                <c:pt idx="0">
                  <c:v>2021年</c:v>
                </c:pt>
                <c:pt idx="1">
                  <c:v>2020年</c:v>
                </c:pt>
              </c:strCache>
            </c:strRef>
          </c:cat>
          <c:val>
            <c:numRef>
              <c:f>Sheet1!$B$2:$B$6</c:f>
              <c:numCache>
                <c:formatCode>General</c:formatCode>
                <c:ptCount val="5"/>
                <c:pt idx="0">
                  <c:v>1664.8</c:v>
                </c:pt>
                <c:pt idx="1">
                  <c:v>1390.12</c:v>
                </c:pt>
              </c:numCache>
            </c:numRef>
          </c:val>
        </c:ser>
        <c:ser>
          <c:idx val="1"/>
          <c:order val="1"/>
          <c:tx>
            <c:strRef>
              <c:f>Sheet1!$C$1</c:f>
              <c:strCache>
                <c:ptCount val="1"/>
                <c:pt idx="0">
                  <c:v>支出</c:v>
                </c:pt>
              </c:strCache>
            </c:strRef>
          </c:tx>
          <c:spPr>
            <a:solidFill>
              <a:schemeClr val="accent2"/>
            </a:solidFill>
            <a:ln>
              <a:noFill/>
            </a:ln>
            <a:effectLst/>
          </c:spPr>
          <c:invertIfNegative val="0"/>
          <c:dLbls>
            <c:delete val="1"/>
          </c:dLbls>
          <c:cat>
            <c:strRef>
              <c:f>Sheet1!$A$2:$A$6</c:f>
              <c:strCache>
                <c:ptCount val="5"/>
                <c:pt idx="0">
                  <c:v>2021年</c:v>
                </c:pt>
                <c:pt idx="1">
                  <c:v>2020年</c:v>
                </c:pt>
              </c:strCache>
            </c:strRef>
          </c:cat>
          <c:val>
            <c:numRef>
              <c:f>Sheet1!$C$2:$C$6</c:f>
              <c:numCache>
                <c:formatCode>General</c:formatCode>
                <c:ptCount val="5"/>
                <c:pt idx="0">
                  <c:v>1664.8</c:v>
                </c:pt>
                <c:pt idx="1">
                  <c:v>1390.12</c:v>
                </c:pt>
              </c:numCache>
            </c:numRef>
          </c:val>
        </c:ser>
        <c:dLbls>
          <c:showLegendKey val="0"/>
          <c:showVal val="0"/>
          <c:showCatName val="0"/>
          <c:showSerName val="0"/>
          <c:showPercent val="0"/>
          <c:showBubbleSize val="0"/>
        </c:dLbls>
        <c:gapWidth val="219"/>
        <c:overlap val="-27"/>
        <c:axId val="341809124"/>
        <c:axId val="170235179"/>
      </c:barChart>
      <c:catAx>
        <c:axId val="341809124"/>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0235179"/>
        <c:crosses val="autoZero"/>
        <c:auto val="1"/>
        <c:lblAlgn val="ctr"/>
        <c:lblOffset val="100"/>
        <c:noMultiLvlLbl val="0"/>
      </c:catAx>
      <c:valAx>
        <c:axId val="17023517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4180912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
        <c:rich>
          <a:bodyPr/>
          <a:lstStyle/>
          <a:p>
            <a:pPr>
              <a:defRPr/>
            </a:pPr>
          </a:p>
        </c:rich>
      </c:tx>
    </c:title>
    <c:autoTitleDeleted val="0"/>
    <c:plotArea>
      <c:layout/>
      <c:barChart>
        <c:barDir val="col"/>
        <c:grouping val="clustered"/>
        <c:varyColors val="0"/>
        <c:ser>
          <c:idx val="0"/>
          <c:order val="0"/>
          <c:tx>
            <c:strRef>
              <c:f>Sheet1!$B$1</c:f>
              <c:strCache>
                <c:ptCount val="1"/>
                <c:pt idx="0">
                  <c:v>支出决算数</c:v>
                </c:pt>
              </c:strCache>
            </c:strRef>
          </c:tx>
          <c:spPr>
            <a:solidFill>
              <a:schemeClr val="accent1"/>
            </a:solidFill>
            <a:ln>
              <a:noFill/>
            </a:ln>
            <a:effectLst/>
          </c:spPr>
          <c:invertIfNegative val="0"/>
          <c:dLbls>
            <c:delete val="1"/>
          </c:dLbls>
          <c:cat>
            <c:strRef>
              <c:f>Sheet1!$A$2:$A$3</c:f>
              <c:strCache>
                <c:ptCount val="2"/>
                <c:pt idx="0">
                  <c:v>2021年</c:v>
                </c:pt>
                <c:pt idx="1">
                  <c:v>2020年</c:v>
                </c:pt>
              </c:strCache>
            </c:strRef>
          </c:cat>
          <c:val>
            <c:numRef>
              <c:f>Sheet1!$B$2:$B$3</c:f>
              <c:numCache>
                <c:formatCode>General</c:formatCode>
                <c:ptCount val="2"/>
                <c:pt idx="0">
                  <c:v>1664.8</c:v>
                </c:pt>
                <c:pt idx="1">
                  <c:v>1390.12</c:v>
                </c:pt>
              </c:numCache>
            </c:numRef>
          </c:val>
        </c:ser>
        <c:dLbls>
          <c:showLegendKey val="0"/>
          <c:showVal val="0"/>
          <c:showCatName val="0"/>
          <c:showSerName val="0"/>
          <c:showPercent val="0"/>
          <c:showBubbleSize val="0"/>
        </c:dLbls>
        <c:gapWidth val="219"/>
        <c:overlap val="-27"/>
        <c:axId val="941596099"/>
        <c:axId val="285931672"/>
      </c:barChart>
      <c:catAx>
        <c:axId val="941596099"/>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85931672"/>
        <c:crosses val="autoZero"/>
        <c:auto val="1"/>
        <c:lblAlgn val="ctr"/>
        <c:lblOffset val="100"/>
        <c:noMultiLvlLbl val="0"/>
      </c:catAx>
      <c:valAx>
        <c:axId val="285931672"/>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41596099"/>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财政拨款支出占比</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公共安全支出</c:v>
                </c:pt>
                <c:pt idx="1">
                  <c:v>社会保障和就业支出</c:v>
                </c:pt>
                <c:pt idx="2">
                  <c:v>卫生健康支出</c:v>
                </c:pt>
                <c:pt idx="3">
                  <c:v>住房保障支出</c:v>
                </c:pt>
                <c:pt idx="4">
                  <c:v>一般公共服务支出</c:v>
                </c:pt>
              </c:strCache>
            </c:strRef>
          </c:cat>
          <c:val>
            <c:numRef>
              <c:f>Sheet1!$B$2:$B$6</c:f>
              <c:numCache>
                <c:formatCode>General</c:formatCode>
                <c:ptCount val="5"/>
                <c:pt idx="0">
                  <c:v>84.5</c:v>
                </c:pt>
                <c:pt idx="1">
                  <c:v>7.5</c:v>
                </c:pt>
                <c:pt idx="2">
                  <c:v>3.7</c:v>
                </c:pt>
                <c:pt idx="3">
                  <c:v>3.7</c:v>
                </c:pt>
                <c:pt idx="4">
                  <c:v>0.6</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
        <c:rich>
          <a:bodyPr/>
          <a:lstStyle/>
          <a:p>
            <a:pPr>
              <a:defRPr/>
            </a:pPr>
          </a:p>
        </c:rich>
      </c:tx>
    </c:title>
    <c:autoTitleDeleted val="0"/>
    <c:plotArea>
      <c:layout/>
      <c:pieChart>
        <c:varyColors val="1"/>
        <c:ser>
          <c:idx val="0"/>
          <c:order val="0"/>
          <c:tx>
            <c:strRef>
              <c:f>Sheet1!$B$1</c:f>
              <c:strCache>
                <c:ptCount val="1"/>
                <c:pt idx="0">
                  <c:v>销售额</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Sheet1!$A$2:$A$4</c:f>
              <c:strCache>
                <c:ptCount val="3"/>
                <c:pt idx="0">
                  <c:v>因公出国（境）费支出</c:v>
                </c:pt>
                <c:pt idx="1">
                  <c:v>公务用车购置及运行维护费支出</c:v>
                </c:pt>
                <c:pt idx="2">
                  <c:v>公务接待费支出</c:v>
                </c:pt>
              </c:strCache>
            </c:strRef>
          </c:cat>
          <c:val>
            <c:numRef>
              <c:f>Sheet1!$B$2:$B$4</c:f>
              <c:numCache>
                <c:formatCode>General</c:formatCode>
                <c:ptCount val="3"/>
                <c:pt idx="0">
                  <c:v>0</c:v>
                </c:pt>
                <c:pt idx="1">
                  <c:v>83.7</c:v>
                </c:pt>
                <c:pt idx="2">
                  <c:v>16.3</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四川省财政厅</Company>
  <Pages>25</Pages>
  <Words>8196</Words>
  <Characters>10087</Characters>
  <Lines>47</Lines>
  <Paragraphs>13</Paragraphs>
  <TotalTime>6</TotalTime>
  <ScaleCrop>false</ScaleCrop>
  <LinksUpToDate>false</LinksUpToDate>
  <CharactersWithSpaces>10104</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2019-08-01T09:14:00Z</dcterms:created>
  <dc:creator>张彬茜</dc:creator>
  <cp:lastModifiedBy>Administrator</cp:lastModifiedBy>
  <cp:lastPrinted>2019-08-01T08:48:00Z</cp:lastPrinted>
  <dcterms:modified xsi:type="dcterms:W3CDTF">2022-09-07T09:27:33Z</dcterms:modified>
  <dc:title>四川省***</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025BFD8BC76941C492BCA463CA3F9929</vt:lpwstr>
  </property>
</Properties>
</file>