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96475"/>
      <w:bookmarkStart w:id="5" w:name="_Toc15377193"/>
      <w:r>
        <w:rPr>
          <w:rFonts w:ascii="方正小标宋简体" w:hAnsi="宋体" w:eastAsia="方正小标宋简体"/>
          <w:color w:val="000000"/>
          <w:sz w:val="72"/>
          <w:szCs w:val="72"/>
        </w:rPr>
        <w:t>2021</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宋体" w:eastAsia="方正小标宋简体"/>
          <w:color w:val="000000"/>
          <w:sz w:val="72"/>
          <w:szCs w:val="72"/>
        </w:rPr>
        <w:t>南江县</w:t>
      </w:r>
      <w:bookmarkEnd w:id="0"/>
      <w:bookmarkStart w:id="11" w:name="_Toc15306268"/>
      <w:r>
        <w:rPr>
          <w:rFonts w:hint="eastAsia" w:ascii="方正小标宋简体" w:hAnsi="宋体" w:eastAsia="方正小标宋简体"/>
          <w:color w:val="000000"/>
          <w:sz w:val="72"/>
          <w:szCs w:val="72"/>
        </w:rPr>
        <w:t>机关事务服务中心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bCs/>
          <w:kern w:val="44"/>
          <w:sz w:val="44"/>
          <w:szCs w:val="44"/>
        </w:rPr>
      </w:pPr>
      <w:r>
        <w:rPr>
          <w:rFonts w:ascii="方正小标宋简体" w:hAnsi="宋体" w:eastAsia="方正小标宋简体"/>
          <w:color w:val="000000"/>
          <w:sz w:val="36"/>
          <w:szCs w:val="36"/>
        </w:rPr>
        <w:br w:type="page"/>
      </w:r>
      <w:bookmarkStart w:id="12" w:name="_Toc15377196"/>
      <w:bookmarkStart w:id="13" w:name="_Toc15396599"/>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ind w:firstLine="640" w:firstLineChars="200"/>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480" w:firstLineChars="150"/>
        <w:outlineLvl w:val="2"/>
        <w:rPr>
          <w:rFonts w:ascii="仿宋" w:hAnsi="仿宋" w:eastAsia="仿宋" w:cs="宋体"/>
          <w:color w:val="4E434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1、根据有关法规政策，研究制定机关事务的各项管理制度并组织实施。</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2、负责推进、指导、协调、监督全县公共机构节能工作，会同有关部门制定全县公共机构节能规划、规章制度并组织实施；组织开展能耗统计、监测和评价考核工作。</w:t>
      </w:r>
    </w:p>
    <w:p>
      <w:pPr>
        <w:pStyle w:val="5"/>
        <w:adjustRightInd w:val="0"/>
        <w:snapToGrid w:val="0"/>
        <w:spacing w:before="93" w:line="600" w:lineRule="exact"/>
        <w:ind w:firstLine="672" w:firstLineChars="210"/>
        <w:outlineLvl w:val="2"/>
        <w:rPr>
          <w:rFonts w:ascii="仿宋" w:hAnsi="仿宋" w:eastAsia="仿宋" w:cs="宋体"/>
          <w:color w:val="4E4342"/>
          <w:sz w:val="32"/>
          <w:szCs w:val="32"/>
        </w:rPr>
      </w:pPr>
      <w:r>
        <w:rPr>
          <w:rFonts w:hint="eastAsia" w:ascii="仿宋" w:hAnsi="仿宋" w:eastAsia="仿宋" w:cs="宋体"/>
          <w:color w:val="4E4342"/>
          <w:sz w:val="32"/>
          <w:szCs w:val="32"/>
        </w:rPr>
        <w:t>3、负责推进、指导、监督全县公务用车调配使用管理工作；负责保障县级公务用车参改单位的公务用车申请。　</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4、负责党政中心办公区内公共区域、光雾山广场及党政中心后坡的日常管理；负责党政中心水、电、通信等方面的保障，加强办公区内电梯、照明系统、通信系统、供水系统以及相关公共设施的日常监管和维护；负责对机关办公用电、用水及设施设备维修的成本核算及任务分摊。</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5、负责党政中心环境卫生、绿化美化亮化、市容市貌等管理工作。</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6、负责管理会议中心，并为会议提供服务。</w:t>
      </w:r>
    </w:p>
    <w:p>
      <w:pPr>
        <w:pStyle w:val="5"/>
        <w:adjustRightInd w:val="0"/>
        <w:snapToGrid w:val="0"/>
        <w:spacing w:before="93" w:line="600" w:lineRule="exact"/>
        <w:ind w:firstLine="672" w:firstLineChars="210"/>
        <w:outlineLvl w:val="2"/>
        <w:rPr>
          <w:rFonts w:ascii="仿宋" w:hAnsi="仿宋" w:eastAsia="仿宋" w:cs="宋体"/>
          <w:color w:val="4E4342"/>
          <w:sz w:val="32"/>
          <w:szCs w:val="32"/>
        </w:rPr>
      </w:pPr>
      <w:r>
        <w:rPr>
          <w:rFonts w:hint="eastAsia" w:ascii="仿宋" w:hAnsi="仿宋" w:eastAsia="仿宋" w:cs="宋体"/>
          <w:color w:val="4E4342"/>
          <w:sz w:val="32"/>
          <w:szCs w:val="32"/>
        </w:rPr>
        <w:t>7、负责入驻朝阳新区办公的各单位工作人员提供统一的餐饮、健身等服务。</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8、指导和督促入驻朝阳新区办公的各单位加强社会治安综合治理、环境卫生、机关事务管理等工作。</w:t>
      </w:r>
    </w:p>
    <w:p>
      <w:pPr>
        <w:pStyle w:val="5"/>
        <w:adjustRightInd w:val="0"/>
        <w:snapToGrid w:val="0"/>
        <w:spacing w:before="93" w:line="600" w:lineRule="exact"/>
        <w:ind w:firstLine="672" w:firstLineChars="210"/>
        <w:outlineLvl w:val="2"/>
        <w:rPr>
          <w:rFonts w:ascii="宋体" w:hAnsi="宋体" w:eastAsia="仿宋" w:cs="宋体"/>
          <w:color w:val="4E4342"/>
          <w:sz w:val="32"/>
          <w:szCs w:val="32"/>
        </w:rPr>
      </w:pPr>
      <w:r>
        <w:rPr>
          <w:rFonts w:hint="eastAsia" w:ascii="仿宋" w:hAnsi="仿宋" w:eastAsia="仿宋" w:cs="宋体"/>
          <w:color w:val="4E4342"/>
          <w:sz w:val="32"/>
          <w:szCs w:val="32"/>
        </w:rPr>
        <w:t>9、承办领导交办的其他工作。</w:t>
      </w:r>
      <w:r>
        <w:rPr>
          <w:rFonts w:hint="eastAsia" w:ascii="宋体" w:hAnsi="宋体" w:cs="宋体"/>
          <w:color w:val="4E4342"/>
          <w:szCs w:val="21"/>
        </w:rPr>
        <w:t> </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2021</w:t>
      </w:r>
      <w:r>
        <w:rPr>
          <w:rFonts w:hint="eastAsia" w:ascii="仿宋" w:hAnsi="仿宋" w:eastAsia="仿宋"/>
          <w:bCs/>
          <w:color w:val="000000"/>
          <w:sz w:val="32"/>
          <w:szCs w:val="32"/>
        </w:rPr>
        <w:t>年重点工作完成情况。</w:t>
      </w:r>
      <w:bookmarkEnd w:id="18"/>
      <w:bookmarkEnd w:id="19"/>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在县委、县政府的正确领导下，我中心圆满完成了年度工作目标。一是狠抓安全检查。每天例行检查，避免出现各类安全责任事故；确保每部电梯安全运行；每月协助维保单位对各类消防设施进行检测调试，及时消除消防隐患。二是改进日常巡查模式。三是确保车辆有序停放。四是配合有关部门做好信访工作。</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突出服务抓保障。一是日常维护提质增效。二是绿化保洁质量提高。三是会务服务细致周到。四是后勤接待高效满意。五是按公务用车管理制度保障县级部门公务出行。六是进一步完善机关食堂和招待所管理制度，加强对工作人员的教育管理，狠抓食品安全，促进机关食堂和招待所高效运行。</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公共机构节能稳步推进。加强公共机构能源资源计量工作，及时准确掌握和科学分析全县公共机构能源使用基本情况，加强调控与监控。做好第二批节约型公共机构示范单位创建及公共机构节水型单位建设的联系协调工作。</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办公用房管理统筹有序。对全县党政机关办公用房进行清理整改，及时开展办公用房清理“回头看”，巩固清理整改成果。《党政机关办公用房建设标准》颁布后，按照新标准，再次对全县办公用房进行清理。</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ascii="仿宋" w:hAnsi="仿宋" w:eastAsia="仿宋"/>
          <w:bCs/>
          <w:color w:val="000000"/>
          <w:sz w:val="32"/>
          <w:szCs w:val="32"/>
        </w:rPr>
        <w:t>强化日常监管，</w:t>
      </w:r>
      <w:r>
        <w:rPr>
          <w:rFonts w:hint="eastAsia" w:ascii="仿宋" w:hAnsi="仿宋" w:eastAsia="仿宋"/>
          <w:bCs/>
          <w:color w:val="000000"/>
          <w:sz w:val="32"/>
          <w:szCs w:val="32"/>
        </w:rPr>
        <w:t>规范</w:t>
      </w:r>
      <w:r>
        <w:rPr>
          <w:rFonts w:ascii="仿宋" w:hAnsi="仿宋" w:eastAsia="仿宋"/>
          <w:bCs/>
          <w:color w:val="000000"/>
          <w:sz w:val="32"/>
          <w:szCs w:val="32"/>
        </w:rPr>
        <w:t>公</w:t>
      </w:r>
      <w:r>
        <w:rPr>
          <w:rFonts w:hint="eastAsia" w:ascii="仿宋" w:hAnsi="仿宋" w:eastAsia="仿宋"/>
          <w:bCs/>
          <w:color w:val="000000"/>
          <w:sz w:val="32"/>
          <w:szCs w:val="32"/>
        </w:rPr>
        <w:t>务用</w:t>
      </w:r>
      <w:r>
        <w:rPr>
          <w:rFonts w:ascii="仿宋" w:hAnsi="仿宋" w:eastAsia="仿宋"/>
          <w:bCs/>
          <w:color w:val="000000"/>
          <w:sz w:val="32"/>
          <w:szCs w:val="32"/>
        </w:rPr>
        <w:t>车</w:t>
      </w:r>
      <w:r>
        <w:rPr>
          <w:rFonts w:hint="eastAsia" w:ascii="仿宋" w:hAnsi="仿宋" w:eastAsia="仿宋"/>
          <w:bCs/>
          <w:color w:val="000000"/>
          <w:sz w:val="32"/>
          <w:szCs w:val="32"/>
        </w:rPr>
        <w:t>管理</w:t>
      </w:r>
      <w:r>
        <w:rPr>
          <w:rFonts w:ascii="仿宋" w:hAnsi="仿宋" w:eastAsia="仿宋"/>
          <w:bCs/>
          <w:color w:val="000000"/>
          <w:sz w:val="32"/>
          <w:szCs w:val="32"/>
        </w:rPr>
        <w:t>制度。加强公务用车日常配备使用管理，深入开展违规超标配备公务用车专项监督检查以及违规购置和使用车辆、公车私用等专项整治工作</w:t>
      </w:r>
      <w:r>
        <w:rPr>
          <w:rFonts w:hint="eastAsia" w:ascii="仿宋" w:hAnsi="仿宋" w:eastAsia="仿宋"/>
          <w:bCs/>
          <w:color w:val="000000"/>
          <w:sz w:val="32"/>
          <w:szCs w:val="32"/>
        </w:rPr>
        <w:t>，加强公务用车运行管理，全力保障县级公务用车参改单位的公务出行</w:t>
      </w:r>
      <w:r>
        <w:rPr>
          <w:rFonts w:ascii="仿宋" w:hAnsi="仿宋" w:eastAsia="仿宋"/>
          <w:bCs/>
          <w:color w:val="000000"/>
          <w:sz w:val="32"/>
          <w:szCs w:val="32"/>
        </w:rPr>
        <w:t>。</w:t>
      </w:r>
    </w:p>
    <w:p>
      <w:pPr>
        <w:pStyle w:val="3"/>
        <w:ind w:firstLine="640" w:firstLineChars="200"/>
        <w:rPr>
          <w:rStyle w:val="26"/>
          <w:rFonts w:ascii="仿宋" w:hAnsi="仿宋" w:eastAsia="仿宋"/>
          <w:b w:val="0"/>
          <w:bCs w:val="0"/>
        </w:rPr>
      </w:pPr>
      <w:bookmarkStart w:id="20" w:name="_Toc15377200"/>
      <w:bookmarkStart w:id="21" w:name="_Toc15396601"/>
      <w:r>
        <w:rPr>
          <w:rFonts w:hint="eastAsia" w:ascii="仿宋" w:hAnsi="仿宋" w:eastAsia="仿宋"/>
          <w:b w:val="0"/>
          <w:color w:val="000000"/>
        </w:rPr>
        <w:t>二、机</w:t>
      </w:r>
      <w:r>
        <w:rPr>
          <w:rStyle w:val="26"/>
          <w:rFonts w:hint="eastAsia" w:ascii="仿宋" w:hAnsi="仿宋" w:eastAsia="仿宋"/>
          <w:b w:val="0"/>
          <w:bCs w:val="0"/>
        </w:rPr>
        <w:t>构设置</w:t>
      </w:r>
      <w:bookmarkEnd w:id="20"/>
      <w:bookmarkEnd w:id="21"/>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1、机构设置。南江县机关事务服务中心系参照公务员法管理的事业单位，内设</w:t>
      </w:r>
      <w:r>
        <w:rPr>
          <w:rFonts w:hint="eastAsia" w:ascii="仿宋" w:hAnsi="仿宋" w:eastAsia="仿宋"/>
          <w:sz w:val="32"/>
          <w:szCs w:val="32"/>
        </w:rPr>
        <w:t>办公室（信访室）、财务股、公共节能管理股等6个股室。</w:t>
      </w:r>
      <w:r>
        <w:rPr>
          <w:rFonts w:hint="eastAsia" w:ascii="仿宋" w:hAnsi="仿宋" w:eastAsia="仿宋"/>
          <w:color w:val="000000"/>
          <w:sz w:val="32"/>
          <w:szCs w:val="32"/>
        </w:rPr>
        <w:t>中心下属公益一类事业单位1个：南江县公务用车保障服务中心。</w:t>
      </w:r>
    </w:p>
    <w:p>
      <w:pPr>
        <w:pStyle w:val="5"/>
        <w:adjustRightInd w:val="0"/>
        <w:snapToGrid w:val="0"/>
        <w:spacing w:before="93" w:line="600" w:lineRule="exact"/>
        <w:ind w:firstLine="672" w:firstLineChars="210"/>
        <w:rPr>
          <w:rFonts w:ascii="宋体" w:hAnsi="宋体" w:eastAsia="宋体"/>
          <w:color w:val="000000"/>
          <w:sz w:val="32"/>
          <w:szCs w:val="32"/>
        </w:rPr>
      </w:pPr>
      <w:r>
        <w:rPr>
          <w:rFonts w:hint="eastAsia" w:ascii="仿宋" w:hAnsi="仿宋" w:eastAsia="仿宋"/>
          <w:sz w:val="32"/>
          <w:szCs w:val="32"/>
        </w:rPr>
        <w:t>2、人员构成。现有正式编制25名，其中，参公管理人员6名、机关工勤人员10名、事业人员9人。根据机关事务管理工作需要，县人民政府同意临聘工作人员95名，其中4名机关招待所工作人员工资及保险从收取招待所收入中列支外，其余91名临聘人员工资及保险等人员经费均纳入年初预算。</w:t>
      </w:r>
    </w:p>
    <w:p>
      <w:pPr>
        <w:pStyle w:val="5"/>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2021年度部门决算情况说明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1591310</wp:posOffset>
            </wp:positionV>
            <wp:extent cx="5181600" cy="3667125"/>
            <wp:effectExtent l="19050" t="0" r="19050" b="0"/>
            <wp:wrapSquare wrapText="bothSides"/>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2021年度收、支总计</w:t>
      </w:r>
      <w:r>
        <w:rPr>
          <w:rFonts w:ascii="仿宋" w:hAnsi="仿宋" w:eastAsia="仿宋"/>
          <w:color w:val="000000"/>
          <w:sz w:val="32"/>
          <w:szCs w:val="32"/>
        </w:rPr>
        <w:t>1567.65</w:t>
      </w:r>
      <w:r>
        <w:rPr>
          <w:rFonts w:hint="eastAsia" w:ascii="仿宋" w:hAnsi="仿宋" w:eastAsia="仿宋"/>
          <w:color w:val="000000"/>
          <w:sz w:val="32"/>
          <w:szCs w:val="32"/>
        </w:rPr>
        <w:t>万元。与2020年相比，收、支总计减少</w:t>
      </w:r>
      <w:r>
        <w:rPr>
          <w:rFonts w:hint="eastAsia" w:ascii="仿宋" w:hAnsi="仿宋" w:eastAsia="仿宋"/>
          <w:sz w:val="32"/>
          <w:szCs w:val="32"/>
        </w:rPr>
        <w:t>229.52</w:t>
      </w:r>
      <w:r>
        <w:rPr>
          <w:rFonts w:hint="eastAsia" w:ascii="仿宋" w:hAnsi="仿宋" w:eastAsia="仿宋"/>
          <w:color w:val="000000"/>
          <w:sz w:val="32"/>
          <w:szCs w:val="32"/>
        </w:rPr>
        <w:t>万元，减少12.77</w:t>
      </w:r>
      <w:r>
        <w:rPr>
          <w:rFonts w:ascii="仿宋" w:hAnsi="仿宋" w:eastAsia="仿宋"/>
          <w:color w:val="000000"/>
          <w:sz w:val="32"/>
          <w:szCs w:val="32"/>
        </w:rPr>
        <w:t>%</w:t>
      </w:r>
      <w:r>
        <w:rPr>
          <w:rFonts w:hint="eastAsia" w:ascii="仿宋" w:hAnsi="仿宋" w:eastAsia="仿宋"/>
          <w:color w:val="000000"/>
          <w:sz w:val="32"/>
          <w:szCs w:val="32"/>
        </w:rPr>
        <w:t>。主要变动原因是2020年度目标考核绩效奖在2021年度全额发放，在编驾驶员目标绩效奖在编制单位发放。</w:t>
      </w:r>
    </w:p>
    <w:p>
      <w:pPr>
        <w:spacing w:line="600"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年本年收入合计</w:t>
      </w:r>
      <w:r>
        <w:rPr>
          <w:rFonts w:hint="eastAsia" w:ascii="宋体" w:hAnsi="宋体"/>
          <w:sz w:val="32"/>
          <w:szCs w:val="32"/>
        </w:rPr>
        <w:t>1567.65</w:t>
      </w:r>
      <w:r>
        <w:rPr>
          <w:rFonts w:hint="eastAsia" w:ascii="仿宋" w:hAnsi="仿宋" w:eastAsia="仿宋"/>
          <w:color w:val="000000"/>
          <w:sz w:val="32"/>
          <w:szCs w:val="32"/>
        </w:rPr>
        <w:t>万元，其中：一般公共预算财政拨款收入</w:t>
      </w:r>
      <w:r>
        <w:rPr>
          <w:rFonts w:ascii="宋体" w:hAnsi="宋体"/>
          <w:sz w:val="32"/>
          <w:szCs w:val="32"/>
        </w:rPr>
        <w:t>1,525.15</w:t>
      </w:r>
      <w:r>
        <w:rPr>
          <w:rFonts w:hint="eastAsia" w:ascii="仿宋" w:hAnsi="仿宋" w:eastAsia="仿宋"/>
          <w:color w:val="000000"/>
          <w:sz w:val="32"/>
          <w:szCs w:val="32"/>
        </w:rPr>
        <w:t>万元，占97.29</w:t>
      </w:r>
      <w:r>
        <w:rPr>
          <w:rFonts w:ascii="仿宋" w:hAnsi="仿宋" w:eastAsia="仿宋"/>
          <w:color w:val="000000"/>
          <w:sz w:val="32"/>
          <w:szCs w:val="32"/>
        </w:rPr>
        <w:t>%</w:t>
      </w:r>
      <w:r>
        <w:rPr>
          <w:rFonts w:hint="eastAsia" w:ascii="仿宋" w:hAnsi="仿宋" w:eastAsia="仿宋"/>
          <w:color w:val="000000"/>
          <w:sz w:val="32"/>
          <w:szCs w:val="32"/>
        </w:rPr>
        <w:t>；政府性基金预算财</w:t>
      </w: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142875</wp:posOffset>
            </wp:positionH>
            <wp:positionV relativeFrom="paragraph">
              <wp:posOffset>561975</wp:posOffset>
            </wp:positionV>
            <wp:extent cx="4981575" cy="2552700"/>
            <wp:effectExtent l="19050" t="0" r="9525"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rPr>
        <w:t>政拨款收入</w:t>
      </w:r>
      <w:r>
        <w:rPr>
          <w:rFonts w:ascii="仿宋" w:hAnsi="仿宋" w:eastAsia="仿宋"/>
          <w:color w:val="000000"/>
          <w:sz w:val="32"/>
          <w:szCs w:val="32"/>
        </w:rPr>
        <w:t>42.5</w:t>
      </w:r>
      <w:r>
        <w:rPr>
          <w:rFonts w:hint="eastAsia" w:ascii="仿宋" w:hAnsi="仿宋" w:eastAsia="仿宋"/>
          <w:color w:val="000000"/>
          <w:sz w:val="32"/>
          <w:szCs w:val="32"/>
        </w:rPr>
        <w:t>万元，占2.71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_GB2312" w:eastAsia="仿宋_GB2312"/>
          <w:color w:val="FF0000"/>
          <w:sz w:val="32"/>
          <w:szCs w:val="32"/>
        </w:rPr>
      </w:pPr>
      <w:r>
        <w:rPr>
          <w:rFonts w:hint="eastAsia" w:ascii="仿宋" w:hAnsi="仿宋" w:eastAsia="仿宋"/>
          <w:color w:val="000000" w:themeColor="text1"/>
          <w:sz w:val="32"/>
          <w:szCs w:val="32"/>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年本年支出合计1567.65万元，其中：基本支出</w:t>
      </w:r>
      <w:r>
        <w:rPr>
          <w:rFonts w:ascii="仿宋" w:hAnsi="仿宋" w:eastAsia="仿宋"/>
          <w:color w:val="000000"/>
          <w:sz w:val="32"/>
          <w:szCs w:val="32"/>
        </w:rPr>
        <w:t>768.05</w:t>
      </w:r>
      <w:r>
        <w:rPr>
          <w:rFonts w:hint="eastAsia" w:ascii="仿宋" w:hAnsi="仿宋" w:eastAsia="仿宋"/>
          <w:color w:val="000000"/>
          <w:sz w:val="32"/>
          <w:szCs w:val="32"/>
        </w:rPr>
        <w:t>万元，占49</w:t>
      </w:r>
      <w:r>
        <w:rPr>
          <w:rFonts w:ascii="仿宋" w:hAnsi="仿宋" w:eastAsia="仿宋"/>
          <w:color w:val="000000"/>
          <w:sz w:val="32"/>
          <w:szCs w:val="32"/>
        </w:rPr>
        <w:t>%</w:t>
      </w:r>
      <w:r>
        <w:rPr>
          <w:rFonts w:hint="eastAsia" w:ascii="仿宋" w:hAnsi="仿宋" w:eastAsia="仿宋"/>
          <w:color w:val="000000"/>
          <w:sz w:val="32"/>
          <w:szCs w:val="32"/>
        </w:rPr>
        <w:t>；项目支出</w:t>
      </w:r>
      <w:r>
        <w:rPr>
          <w:rFonts w:ascii="仿宋" w:hAnsi="仿宋" w:eastAsia="仿宋"/>
          <w:color w:val="000000"/>
          <w:sz w:val="32"/>
          <w:szCs w:val="32"/>
        </w:rPr>
        <w:t>799.6</w:t>
      </w:r>
      <w:r>
        <w:rPr>
          <w:rFonts w:hint="eastAsia" w:ascii="仿宋" w:hAnsi="仿宋" w:eastAsia="仿宋"/>
          <w:color w:val="000000"/>
          <w:sz w:val="32"/>
          <w:szCs w:val="32"/>
        </w:rPr>
        <w:t>万元，占51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_GB2312" w:eastAsia="仿宋_GB2312"/>
          <w:color w:val="FF0000"/>
          <w:sz w:val="32"/>
          <w:szCs w:val="32"/>
        </w:rPr>
      </w:pPr>
      <w:r>
        <w:rPr>
          <w:rFonts w:hint="eastAsia" w:ascii="仿宋" w:hAnsi="仿宋" w:eastAsia="仿宋"/>
          <w:color w:val="000000"/>
          <w:sz w:val="32"/>
          <w:szCs w:val="32"/>
        </w:rPr>
        <w:drawing>
          <wp:anchor distT="0" distB="0" distL="114300" distR="114300" simplePos="0" relativeHeight="251661312" behindDoc="1" locked="0" layoutInCell="1" allowOverlap="1">
            <wp:simplePos x="0" y="0"/>
            <wp:positionH relativeFrom="column">
              <wp:posOffset>142875</wp:posOffset>
            </wp:positionH>
            <wp:positionV relativeFrom="paragraph">
              <wp:posOffset>161290</wp:posOffset>
            </wp:positionV>
            <wp:extent cx="5086350" cy="2105025"/>
            <wp:effectExtent l="19050" t="0" r="19050" b="0"/>
            <wp:wrapTight wrapText="bothSides">
              <wp:wrapPolygon>
                <wp:start x="-81" y="0"/>
                <wp:lineTo x="-81" y="21502"/>
                <wp:lineTo x="21681" y="21502"/>
                <wp:lineTo x="21681" y="0"/>
                <wp:lineTo x="-81"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color w:val="000000"/>
          <w:sz w:val="32"/>
          <w:szCs w:val="32"/>
        </w:rPr>
        <w:t>2021</w:t>
      </w:r>
      <w:r>
        <w:rPr>
          <w:rFonts w:hint="eastAsia" w:ascii="仿宋" w:hAnsi="仿宋" w:eastAsia="仿宋"/>
          <w:color w:val="000000"/>
          <w:sz w:val="32"/>
          <w:szCs w:val="32"/>
        </w:rPr>
        <w:t>年财政拨款收、支总计1567.65万元。与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20年相比，财政拨款收、支总计各减少229.52万元，减少12.77</w:t>
      </w:r>
      <w:r>
        <w:rPr>
          <w:rFonts w:ascii="仿宋" w:hAnsi="仿宋" w:eastAsia="仿宋"/>
          <w:color w:val="000000"/>
          <w:sz w:val="32"/>
          <w:szCs w:val="32"/>
        </w:rPr>
        <w:t>%</w:t>
      </w:r>
      <w:r>
        <w:rPr>
          <w:rFonts w:hint="eastAsia" w:ascii="仿宋" w:hAnsi="仿宋" w:eastAsia="仿宋"/>
          <w:color w:val="000000"/>
          <w:sz w:val="32"/>
          <w:szCs w:val="32"/>
        </w:rPr>
        <w:t>。主要变动原因是2020年度目标考核绩效奖在2021年度全部发放，在编驾驶员目标绩效奖在编制单位发放，机关在编人员减少1人，部分项目支出不属于本年度决算填报范围。</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38100</wp:posOffset>
            </wp:positionV>
            <wp:extent cx="5095875" cy="2724150"/>
            <wp:effectExtent l="19050" t="0" r="9525" b="0"/>
            <wp:wrapTight wrapText="bothSides">
              <wp:wrapPolygon>
                <wp:start x="-81" y="0"/>
                <wp:lineTo x="-81" y="21600"/>
                <wp:lineTo x="21640" y="21600"/>
                <wp:lineTo x="21640" y="0"/>
                <wp:lineTo x="-81"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年一般公共预算财政拨款支出1525.15万元，占本年支出合计的97.29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20年相比，一般公共预算财政拨款减少234.21万元，减少13.31</w:t>
      </w:r>
      <w:r>
        <w:rPr>
          <w:rFonts w:ascii="仿宋" w:hAnsi="仿宋" w:eastAsia="仿宋"/>
          <w:color w:val="000000"/>
          <w:sz w:val="32"/>
          <w:szCs w:val="32"/>
        </w:rPr>
        <w:t>%</w:t>
      </w:r>
      <w:r>
        <w:rPr>
          <w:rFonts w:hint="eastAsia" w:ascii="仿宋" w:hAnsi="仿宋" w:eastAsia="仿宋"/>
          <w:color w:val="000000"/>
          <w:sz w:val="32"/>
          <w:szCs w:val="32"/>
        </w:rPr>
        <w:t>。主要变动原因是2020年度目标考核绩效奖在2021年度全部发放，在编驾驶员目标绩效奖在编制单位发放。</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drawing>
          <wp:anchor distT="0" distB="0" distL="114300" distR="114300" simplePos="0" relativeHeight="251663360" behindDoc="1" locked="0" layoutInCell="1" allowOverlap="1">
            <wp:simplePos x="0" y="0"/>
            <wp:positionH relativeFrom="column">
              <wp:posOffset>9525</wp:posOffset>
            </wp:positionH>
            <wp:positionV relativeFrom="paragraph">
              <wp:posOffset>457200</wp:posOffset>
            </wp:positionV>
            <wp:extent cx="5029200" cy="2457450"/>
            <wp:effectExtent l="19050" t="0" r="19050" b="0"/>
            <wp:wrapTight wrapText="bothSides">
              <wp:wrapPolygon>
                <wp:start x="-82" y="0"/>
                <wp:lineTo x="-82" y="21600"/>
                <wp:lineTo x="21682" y="21600"/>
                <wp:lineTo x="21682" y="0"/>
                <wp:lineTo x="-82"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2021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政拨款支出1525.15万元，主要用于以下方面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一般公共服务（类）支出1381.94万元，占90.6</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；社会保障和就业（类）支出56.35万元，占3.7</w:t>
      </w:r>
      <w:r>
        <w:rPr>
          <w:rFonts w:ascii="仿宋" w:hAnsi="仿宋" w:eastAsia="仿宋"/>
          <w:color w:val="000000" w:themeColor="text1"/>
          <w:sz w:val="32"/>
          <w:szCs w:val="32"/>
        </w:rPr>
        <w:t>%</w:t>
      </w:r>
      <w:r>
        <w:rPr>
          <w:rFonts w:hint="eastAsia" w:ascii="仿宋" w:hAnsi="仿宋" w:eastAsia="仿宋"/>
          <w:color w:val="000000" w:themeColor="text1"/>
          <w:sz w:val="32"/>
          <w:szCs w:val="32"/>
        </w:rPr>
        <w:t>；卫生健康支出41.55万元，占2.73</w:t>
      </w:r>
      <w:r>
        <w:rPr>
          <w:rFonts w:ascii="仿宋" w:hAnsi="仿宋" w:eastAsia="仿宋"/>
          <w:color w:val="000000" w:themeColor="text1"/>
          <w:sz w:val="32"/>
          <w:szCs w:val="32"/>
        </w:rPr>
        <w:t>%</w:t>
      </w:r>
      <w:r>
        <w:rPr>
          <w:rFonts w:hint="eastAsia" w:ascii="仿宋" w:hAnsi="仿宋" w:eastAsia="仿宋"/>
          <w:color w:val="000000" w:themeColor="text1"/>
          <w:sz w:val="32"/>
          <w:szCs w:val="32"/>
        </w:rPr>
        <w:t>；城乡社区支出25.24万元，占1.66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，住房保障支出20.06万元，占1.31%。年末结转结余0万元，占0%。</w:t>
      </w:r>
    </w:p>
    <w:p>
      <w:pPr>
        <w:spacing w:line="600" w:lineRule="exact"/>
        <w:ind w:firstLine="640"/>
        <w:rPr>
          <w:rFonts w:ascii="仿宋" w:hAnsi="仿宋" w:eastAsia="仿宋"/>
          <w:color w:val="000000"/>
          <w:sz w:val="32"/>
          <w:szCs w:val="32"/>
        </w:rPr>
      </w:pPr>
      <w:r>
        <w:rPr>
          <w:rFonts w:hint="eastAsia" w:ascii="仿宋" w:hAnsi="仿宋" w:eastAsia="仿宋"/>
          <w:color w:val="000000" w:themeColor="text1"/>
          <w:sz w:val="32"/>
          <w:szCs w:val="32"/>
        </w:rPr>
        <w:drawing>
          <wp:anchor distT="0" distB="0" distL="114300" distR="114300" simplePos="0" relativeHeight="251664384" behindDoc="1" locked="0" layoutInCell="1" allowOverlap="1">
            <wp:simplePos x="0" y="0"/>
            <wp:positionH relativeFrom="column">
              <wp:posOffset>95250</wp:posOffset>
            </wp:positionH>
            <wp:positionV relativeFrom="paragraph">
              <wp:posOffset>19050</wp:posOffset>
            </wp:positionV>
            <wp:extent cx="5095875" cy="2514600"/>
            <wp:effectExtent l="19050" t="0" r="9525" b="0"/>
            <wp:wrapTight wrapText="bothSides">
              <wp:wrapPolygon>
                <wp:start x="-81" y="0"/>
                <wp:lineTo x="-81" y="21600"/>
                <wp:lineTo x="21640" y="21600"/>
                <wp:lineTo x="21640" y="0"/>
                <wp:lineTo x="-81"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2021年一般公共预算支出决算数为</w:t>
      </w:r>
      <w:r>
        <w:rPr>
          <w:rFonts w:hint="eastAsia" w:ascii="仿宋" w:hAnsi="仿宋" w:eastAsia="仿宋"/>
          <w:color w:val="000000" w:themeColor="text1"/>
          <w:sz w:val="32"/>
          <w:szCs w:val="32"/>
        </w:rPr>
        <w:t>1567.65万元，</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预算100%。其中：</w:t>
      </w:r>
      <w:bookmarkEnd w:id="37"/>
      <w:bookmarkEnd w:id="38"/>
      <w:bookmarkEnd w:id="39"/>
    </w:p>
    <w:p>
      <w:pPr>
        <w:snapToGrid w:val="0"/>
        <w:spacing w:line="520" w:lineRule="exact"/>
        <w:ind w:firstLine="640" w:firstLineChars="200"/>
        <w:rPr>
          <w:rFonts w:ascii="宋体" w:hAnsi="宋体"/>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一般公共服务（类）支出决算1381.94万元，完成预算100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，决算数等于预算数。</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2010303一般公共服务支出-政府办公厅（室）及相关机构事务-机关服务支出决算为884.78万元</w:t>
      </w:r>
      <w:r>
        <w:rPr>
          <w:rStyle w:val="15"/>
          <w:rFonts w:hint="eastAsia" w:ascii="仿宋" w:hAnsi="仿宋" w:eastAsia="仿宋"/>
          <w:b w:val="0"/>
          <w:bCs/>
          <w:color w:val="000000"/>
          <w:sz w:val="32"/>
          <w:szCs w:val="32"/>
          <w:lang w:eastAsia="zh-CN"/>
        </w:rPr>
        <w:t>。</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2010350一般公共服务支出-政府办公厅（室）及相关机构事务-事业运行支出决算497.16万元。</w:t>
      </w:r>
    </w:p>
    <w:p>
      <w:pPr>
        <w:spacing w:line="600" w:lineRule="exact"/>
        <w:ind w:firstLine="640"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社会保障和就业（类）支出决算为56.35万元，完成预算100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，决算数等于预算数。</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2080501社会保障和就业支出-行政事业单位养老支出-行政单位离退休0.4万元</w:t>
      </w:r>
      <w:r>
        <w:rPr>
          <w:rStyle w:val="15"/>
          <w:rFonts w:hint="eastAsia" w:ascii="仿宋" w:hAnsi="仿宋" w:eastAsia="仿宋"/>
          <w:b w:val="0"/>
          <w:bCs/>
          <w:color w:val="000000"/>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2080505社会保障和就业支出-行政事业单位养老支出-机关事业单位基本养老保险费支出52.73万元</w:t>
      </w:r>
      <w:r>
        <w:rPr>
          <w:rStyle w:val="15"/>
          <w:rFonts w:hint="eastAsia" w:ascii="仿宋" w:hAnsi="仿宋" w:eastAsia="仿宋"/>
          <w:b w:val="0"/>
          <w:bCs/>
          <w:color w:val="000000"/>
          <w:sz w:val="32"/>
          <w:szCs w:val="32"/>
          <w:lang w:eastAsia="zh-CN"/>
        </w:rPr>
        <w:t>。</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2080506社会保障和就业支出-行政事业单位养老支出-机关事业单位职业年金缴费支出3.22万元。</w:t>
      </w:r>
    </w:p>
    <w:p>
      <w:pPr>
        <w:spacing w:line="600" w:lineRule="exact"/>
        <w:ind w:firstLine="640"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卫生健康支出决算为41.55万元，完成预算100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，决算数等于预算数。</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2101101卫生健康支出-行政事业单位医疗-行政单位医疗9.9万元</w:t>
      </w:r>
      <w:r>
        <w:rPr>
          <w:rStyle w:val="15"/>
          <w:rFonts w:hint="eastAsia" w:ascii="仿宋" w:hAnsi="仿宋" w:eastAsia="仿宋"/>
          <w:b w:val="0"/>
          <w:bCs/>
          <w:color w:val="000000"/>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2101102卫生健康支出-行政事业单位医疗-事业单位医疗29.21万元</w:t>
      </w:r>
      <w:r>
        <w:rPr>
          <w:rStyle w:val="15"/>
          <w:rFonts w:hint="eastAsia" w:ascii="仿宋" w:hAnsi="仿宋" w:eastAsia="仿宋"/>
          <w:b w:val="0"/>
          <w:bCs/>
          <w:color w:val="000000"/>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rPr>
        <w:t>2101103卫生健康支出-行政事业单位医疗-公务员医疗补助2.44万元</w:t>
      </w:r>
      <w:r>
        <w:rPr>
          <w:rStyle w:val="15"/>
          <w:rFonts w:hint="eastAsia" w:ascii="仿宋" w:hAnsi="仿宋" w:eastAsia="仿宋"/>
          <w:b w:val="0"/>
          <w:bCs/>
          <w:color w:val="000000"/>
          <w:sz w:val="32"/>
          <w:szCs w:val="32"/>
          <w:lang w:eastAsia="zh-CN"/>
        </w:rPr>
        <w:t>。</w:t>
      </w:r>
    </w:p>
    <w:p>
      <w:pPr>
        <w:spacing w:line="600" w:lineRule="exact"/>
        <w:ind w:firstLine="640"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4.城乡社区支出决算为67.74万元，完成预算100%，决算数等于预算数。</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2120103城乡社区支出-城乡社区管理事务-机关服务25.24万元。</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2121302城乡社区支出-城市基础设施配套费安排的支出-城市环境卫生42.5万元。</w:t>
      </w:r>
    </w:p>
    <w:p>
      <w:pPr>
        <w:spacing w:line="600" w:lineRule="exact"/>
        <w:ind w:firstLine="640" w:firstLineChars="200"/>
        <w:rPr>
          <w:rStyle w:val="15"/>
          <w:b w:val="0"/>
          <w:bCs/>
        </w:rPr>
      </w:pPr>
      <w:r>
        <w:rPr>
          <w:rStyle w:val="15"/>
          <w:rFonts w:hint="eastAsia" w:ascii="仿宋" w:hAnsi="仿宋" w:eastAsia="仿宋"/>
          <w:bCs/>
          <w:color w:val="000000"/>
          <w:sz w:val="32"/>
          <w:szCs w:val="32"/>
        </w:rPr>
        <w:t>5.住房保障支出决算为20.07万元，完成预算100%，决算数等于预算数。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2210201住房保障支出-住房改革支出-住房公积金20.07万元。</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21年一般公共预算财政拨款基本支出768.05万元，其中：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528.7万元，主要包括：基本工资219.27万元、津贴补贴51.1万元、奖金119.7万元、绩效工资20.67万元，机关事业单位基本养老保险缴费52.73万元，职业年检缴费3.22万元，职工基本医疗保险缴费26.85万元，公务员医疗补助缴费2.44万元，其他社会保障缴费12.21万元，住房公积金20.06万元，医疗费0.05万元，生活补助0.4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公用经费239.35万元，主要包括：办公费6.11万元、邮电费0.9万元，差旅费187万元、公务接待费0.48万元、工会经费3.44万元、福利费4.3万元、其他交通费11.88万元，其他商品和服务25.24万元。</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年“三公”经费财政拨款支出决算为483.48万元，完成预算100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5408" behindDoc="1" locked="0" layoutInCell="1" allowOverlap="1">
            <wp:simplePos x="0" y="0"/>
            <wp:positionH relativeFrom="column">
              <wp:posOffset>76200</wp:posOffset>
            </wp:positionH>
            <wp:positionV relativeFrom="paragraph">
              <wp:posOffset>1162050</wp:posOffset>
            </wp:positionV>
            <wp:extent cx="5095875" cy="2428875"/>
            <wp:effectExtent l="19050" t="0" r="9525" b="0"/>
            <wp:wrapTight wrapText="bothSides">
              <wp:wrapPolygon>
                <wp:start x="-81" y="0"/>
                <wp:lineTo x="-81" y="21515"/>
                <wp:lineTo x="21640" y="21515"/>
                <wp:lineTo x="21640" y="0"/>
                <wp:lineTo x="-81"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2021</w:t>
      </w:r>
      <w:r>
        <w:rPr>
          <w:rFonts w:hint="eastAsia" w:ascii="仿宋" w:hAnsi="仿宋" w:eastAsia="仿宋"/>
          <w:color w:val="000000"/>
          <w:sz w:val="32"/>
          <w:szCs w:val="32"/>
        </w:rPr>
        <w:t>年“三公”经费财政拨款支出决算中，公务用车购置及运行维护费支出决算483万元，占99.9</w:t>
      </w:r>
      <w:r>
        <w:rPr>
          <w:rFonts w:ascii="仿宋" w:hAnsi="仿宋" w:eastAsia="仿宋"/>
          <w:color w:val="000000"/>
          <w:sz w:val="32"/>
          <w:szCs w:val="32"/>
        </w:rPr>
        <w:t>%</w:t>
      </w:r>
      <w:r>
        <w:rPr>
          <w:rFonts w:hint="eastAsia" w:ascii="仿宋" w:hAnsi="仿宋" w:eastAsia="仿宋"/>
          <w:color w:val="000000"/>
          <w:sz w:val="32"/>
          <w:szCs w:val="32"/>
        </w:rPr>
        <w:t>；公务接待费支出决算0.48万元，占0.1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宋体" w:hAnsi="宋体"/>
          <w:color w:val="000000"/>
          <w:sz w:val="32"/>
          <w:szCs w:val="32"/>
        </w:rPr>
        <w:t xml:space="preserve"> </w:t>
      </w:r>
      <w:r>
        <w:rPr>
          <w:rFonts w:hint="eastAsia" w:ascii="仿宋" w:hAnsi="仿宋" w:eastAsia="仿宋"/>
          <w:b/>
          <w:sz w:val="32"/>
          <w:szCs w:val="32"/>
        </w:rPr>
        <w:t>无公务出（境）国费用。</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483万元,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rPr>
        <w:t>20年减少9.6万元，减少1.95</w:t>
      </w:r>
      <w:r>
        <w:rPr>
          <w:rFonts w:ascii="仿宋_GB2312" w:eastAsia="仿宋_GB2312"/>
          <w:color w:val="000000"/>
          <w:sz w:val="32"/>
          <w:szCs w:val="32"/>
        </w:rPr>
        <w:t>%</w:t>
      </w:r>
      <w:r>
        <w:rPr>
          <w:rFonts w:hint="eastAsia" w:ascii="仿宋_GB2312" w:eastAsia="仿宋_GB2312"/>
          <w:color w:val="000000"/>
          <w:sz w:val="32"/>
          <w:szCs w:val="32"/>
        </w:rPr>
        <w:t>。主要原因：年初预算压缩。</w:t>
      </w:r>
    </w:p>
    <w:p>
      <w:pPr>
        <w:spacing w:line="600" w:lineRule="exac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月底，单位共有公务用车64辆，其中：轿车32辆、越野车24辆、载客汽车8辆。</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公务用车运行维护费支出483万元。主要用于全县参改单位公务用车出行等所需的公务用车燃料费、维修费、过路过桥费、保险费等支出。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公务接待费支出0.48万元</w:t>
      </w:r>
      <w:r>
        <w:rPr>
          <w:rFonts w:hint="eastAsia" w:ascii="仿宋_GB2312" w:eastAsia="仿宋_GB2312"/>
          <w:color w:val="000000"/>
          <w:sz w:val="32"/>
          <w:szCs w:val="32"/>
        </w:rPr>
        <w:t>。</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主要用于执行公务用餐费等。国内公务接待4批次，39人次（不包括陪同人员），共计支出0.48万元。</w:t>
      </w:r>
    </w:p>
    <w:p>
      <w:pPr>
        <w:spacing w:line="600" w:lineRule="exact"/>
        <w:ind w:firstLine="640"/>
        <w:outlineLvl w:val="1"/>
        <w:rPr>
          <w:rStyle w:val="26"/>
          <w:rFonts w:ascii="黑体" w:hAnsi="黑体" w:eastAsia="黑体"/>
        </w:rPr>
      </w:pPr>
      <w:bookmarkStart w:id="46" w:name="_Toc15396610"/>
      <w:bookmarkStart w:id="47"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年政府性基金预算拨款支出42.5万元。其中：2121301城乡社区支出-城市基础设施配套费安排的支出-城市环境卫生42.5万元，主要用于</w:t>
      </w:r>
      <w:bookmarkStart w:id="48" w:name="_Toc15396611"/>
      <w:bookmarkStart w:id="49" w:name="_Toc15377219"/>
      <w:r>
        <w:rPr>
          <w:rFonts w:hint="eastAsia" w:ascii="仿宋_GB2312" w:eastAsia="仿宋_GB2312"/>
          <w:color w:val="000000"/>
          <w:sz w:val="32"/>
          <w:szCs w:val="32"/>
        </w:rPr>
        <w:t>广场设施设备日常维护费（光亮工程及水电、园艺维护、广场维修维护费）、广场黄桷树维护及后山绿化管护经费。</w:t>
      </w:r>
    </w:p>
    <w:p>
      <w:pPr>
        <w:spacing w:line="600" w:lineRule="exact"/>
        <w:ind w:firstLine="640"/>
        <w:rPr>
          <w:rStyle w:val="26"/>
          <w:rFonts w:ascii="黑体" w:hAnsi="黑体" w:eastAsia="黑体"/>
          <w:b w:val="0"/>
        </w:rPr>
      </w:pPr>
      <w:r>
        <w:rPr>
          <w:rStyle w:val="26"/>
          <w:rFonts w:hint="eastAsia" w:ascii="黑体" w:hAnsi="黑体" w:eastAsia="黑体"/>
        </w:rPr>
        <w:t>九、</w:t>
      </w:r>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年无国有资本经营预算拨款支出。</w:t>
      </w:r>
    </w:p>
    <w:p>
      <w:pPr>
        <w:pStyle w:val="24"/>
        <w:spacing w:line="580" w:lineRule="exact"/>
        <w:ind w:left="720" w:firstLine="0" w:firstLineChars="0"/>
        <w:rPr>
          <w:rStyle w:val="26"/>
          <w:rFonts w:ascii="黑体" w:hAnsi="黑体" w:eastAsia="黑体"/>
          <w:b w:val="0"/>
        </w:rPr>
      </w:pPr>
      <w:r>
        <w:rPr>
          <w:rStyle w:val="26"/>
          <w:rFonts w:hint="eastAsia" w:ascii="黑体" w:hAnsi="黑体" w:eastAsia="黑体"/>
          <w:b w:val="0"/>
        </w:rPr>
        <w:t>十、预算绩效情况说明</w:t>
      </w:r>
    </w:p>
    <w:p>
      <w:pPr>
        <w:numPr>
          <w:ilvl w:val="0"/>
          <w:numId w:val="2"/>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广场设施日常维护维修项目开展了预算事前绩效评估，对5个项目编制了绩效目标，预算执行过程中，选取1个项目开展绩效监控，年终执行完毕后，对1个项目开展了绩效目标完成情况梳理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本部门按要求对2021年部门整体支出开展绩效自评，从评价情况来看广场设施设备正常使用，无群众反映任何问题。本部门还自行组织了1个项目绩效评价，从评价情况来看项目完成度较好，无任何问题反映。</w:t>
      </w:r>
    </w:p>
    <w:p>
      <w:pPr>
        <w:spacing w:line="580" w:lineRule="exact"/>
        <w:ind w:firstLine="640" w:firstLineChars="200"/>
        <w:rPr>
          <w:rFonts w:hint="eastAsia" w:ascii="楷体_GB2312" w:hAnsi="楷体_GB2312" w:eastAsia="楷体_GB2312" w:cs="楷体_GB2312"/>
          <w:b/>
          <w:bCs/>
          <w:sz w:val="32"/>
          <w:szCs w:val="32"/>
        </w:rPr>
      </w:pPr>
      <w:r>
        <w:rPr>
          <w:rFonts w:hint="eastAsia" w:ascii="仿宋" w:hAnsi="仿宋" w:eastAsia="仿宋" w:cs="楷体_GB2312"/>
          <w:b/>
          <w:bCs/>
          <w:sz w:val="32"/>
          <w:szCs w:val="32"/>
        </w:rPr>
        <w:t>项目绩效目标完成情况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本部门在2021年度部门决算中反映“保洁花工人员经费</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“公务用车运行维护费”、“机关食堂运行维护费”、 “公务用车租赁费”、“党政中心办公楼日常运行经费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“政府采购（安保遗留人员）”“驻村工作经费”“广场设施设备日常维护费（光亮工程及水电、园艺维护、广场维修维护）”、 “广场黄桷树及后山管护”等9个项目绩效目标实际完成情况。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洁花工人员经费项目绩效目标完成情况综述。项目全年预算数34.3万元，执行数为34.3万元，完成预算的100%。通过项目实施，保障了党政中心办公大楼及光雾山广场公共区域卫生和绿化养护个人的工资及社保资金来源。发现的主要问题：工资发放不及时。下一步改进措施：及时向财政申报资金计划，按时发放工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党政中心办公楼日常运行经费项目绩效目标完成情况综述。项目全年预算数18万元，执行数为18万元，完成预算的100%。通过项目实施，保障了党政中心各部门办公正常运行。现</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的主要问题：资金支付不及时。下一步改进措施：及时向财政申报资金计划，支付项目资金。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驻村工作经费项目绩效目标完成情况综述。项目全年预算数3.4万元，执行数为3.4万元，完成预算的100%。通过项目实施，保障了驻村工作人员的经费。发现的主要问题：照明系统开放时间不统一、存在滞后情况。下一步改进措施：及时向财政申报资金计划，支付项目资金。</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广场设施设备日常维护费（光亮工程及水电、园艺维护、广场维修维护）项目绩效目标完成情况综述。项目全年预算数29万元，执行数为29万元，完成预算的100%。通过项目实施，保障了广场设施设备正常使用，党政中心周边绿化正常维护、公共区域水电正常运行。现的主要问题：资金支付不及时。下一步改进措施：及时向财政申报资金计划，支付项目资金，对发现的损坏及坏死的绿植及时补植。。</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rPr>
        <w:t xml:space="preserve"> </w:t>
      </w:r>
      <w:r>
        <w:rPr>
          <w:rFonts w:hint="eastAsia" w:ascii="仿宋_GB2312" w:hAnsi="仿宋_GB2312" w:eastAsia="仿宋_GB2312" w:cs="仿宋_GB2312"/>
          <w:sz w:val="32"/>
          <w:szCs w:val="32"/>
        </w:rPr>
        <w:t>广场黄桷树及后山管护项目绩效目标完成情况综述。项目全年预算数13.5万元，执行数为13.5万元，完成预算的100%。通过项目实施，保障了广场黄桷树及后山绿化正常维护。现</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的主要问题：对损坏、坏死的绿化更换不及时。下一步改进措施：对发现的损坏及坏死的绿植及时补植。</w:t>
      </w:r>
    </w:p>
    <w:p>
      <w:pPr>
        <w:tabs>
          <w:tab w:val="left" w:pos="312"/>
        </w:tabs>
        <w:spacing w:line="580" w:lineRule="exact"/>
        <w:ind w:firstLine="640" w:firstLineChars="200"/>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81" w:type="dxa"/>
        <w:tblInd w:w="0" w:type="dxa"/>
        <w:tblLayout w:type="fixed"/>
        <w:tblCellMar>
          <w:top w:w="0" w:type="dxa"/>
          <w:left w:w="0" w:type="dxa"/>
          <w:bottom w:w="0" w:type="dxa"/>
          <w:right w:w="0" w:type="dxa"/>
        </w:tblCellMar>
      </w:tblPr>
      <w:tblGrid>
        <w:gridCol w:w="391"/>
        <w:gridCol w:w="1370"/>
        <w:gridCol w:w="1027"/>
        <w:gridCol w:w="2397"/>
        <w:gridCol w:w="2399"/>
        <w:gridCol w:w="2397"/>
      </w:tblGrid>
      <w:tr>
        <w:tblPrEx>
          <w:tblLayout w:type="fixed"/>
          <w:tblCellMar>
            <w:top w:w="0" w:type="dxa"/>
            <w:left w:w="0" w:type="dxa"/>
            <w:bottom w:w="0" w:type="dxa"/>
            <w:right w:w="0" w:type="dxa"/>
          </w:tblCellMar>
        </w:tblPrEx>
        <w:trPr>
          <w:trHeight w:val="294" w:hRule="atLeast"/>
        </w:trPr>
        <w:tc>
          <w:tcPr>
            <w:tcW w:w="9981" w:type="dxa"/>
            <w:gridSpan w:val="6"/>
            <w:tcMar>
              <w:top w:w="15" w:type="dxa"/>
              <w:left w:w="15" w:type="dxa"/>
              <w:bottom w:w="0" w:type="dxa"/>
              <w:right w:w="15" w:type="dxa"/>
            </w:tcMar>
            <w:vAlign w:val="center"/>
          </w:tcPr>
          <w:p>
            <w:pPr>
              <w:widowControl/>
              <w:jc w:val="center"/>
              <w:textAlignment w:val="center"/>
              <w:rPr>
                <w:rFonts w:ascii="黑体" w:hAnsi="黑体" w:eastAsia="黑体" w:cs="宋体"/>
                <w:bCs/>
                <w:color w:val="000000"/>
                <w:kern w:val="0"/>
                <w:sz w:val="36"/>
                <w:szCs w:val="36"/>
              </w:rPr>
            </w:pPr>
          </w:p>
          <w:p>
            <w:pPr>
              <w:widowControl/>
              <w:jc w:val="center"/>
              <w:textAlignment w:val="center"/>
              <w:rPr>
                <w:rFonts w:ascii="黑体" w:hAnsi="黑体" w:eastAsia="黑体" w:cs="宋体"/>
                <w:bCs/>
                <w:color w:val="000000"/>
                <w:kern w:val="0"/>
                <w:sz w:val="36"/>
                <w:szCs w:val="36"/>
              </w:rPr>
            </w:pPr>
          </w:p>
          <w:p>
            <w:pPr>
              <w:widowControl/>
              <w:jc w:val="center"/>
              <w:textAlignment w:val="center"/>
              <w:rPr>
                <w:rFonts w:ascii="黑体" w:hAnsi="黑体" w:eastAsia="黑体" w:cs="宋体"/>
                <w:bCs/>
                <w:color w:val="000000"/>
                <w:kern w:val="0"/>
                <w:sz w:val="36"/>
                <w:szCs w:val="36"/>
              </w:rPr>
            </w:pPr>
          </w:p>
          <w:p>
            <w:pPr>
              <w:widowControl/>
              <w:jc w:val="center"/>
              <w:textAlignment w:val="center"/>
              <w:rPr>
                <w:rFonts w:ascii="黑体" w:hAnsi="黑体" w:eastAsia="黑体" w:cs="宋体"/>
                <w:bCs/>
                <w:color w:val="000000"/>
                <w:kern w:val="0"/>
                <w:sz w:val="36"/>
                <w:szCs w:val="36"/>
              </w:rPr>
            </w:pPr>
          </w:p>
          <w:p>
            <w:pPr>
              <w:widowControl/>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(2021 年度)</w:t>
            </w:r>
          </w:p>
        </w:tc>
      </w:tr>
      <w:tr>
        <w:tblPrEx>
          <w:tblLayout w:type="fixed"/>
          <w:tblCellMar>
            <w:top w:w="0" w:type="dxa"/>
            <w:left w:w="0" w:type="dxa"/>
            <w:bottom w:w="0" w:type="dxa"/>
            <w:right w:w="0" w:type="dxa"/>
          </w:tblCellMar>
        </w:tblPrEx>
        <w:trPr>
          <w:trHeight w:val="78" w:hRule="atLeast"/>
        </w:trPr>
        <w:tc>
          <w:tcPr>
            <w:tcW w:w="278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广场黄桷树及后山管护项目</w:t>
            </w:r>
          </w:p>
        </w:tc>
      </w:tr>
      <w:tr>
        <w:tblPrEx>
          <w:tblLayout w:type="fixed"/>
          <w:tblCellMar>
            <w:top w:w="0" w:type="dxa"/>
            <w:left w:w="0" w:type="dxa"/>
            <w:bottom w:w="0" w:type="dxa"/>
            <w:right w:w="0" w:type="dxa"/>
          </w:tblCellMar>
        </w:tblPrEx>
        <w:trPr>
          <w:trHeight w:val="78" w:hRule="atLeast"/>
        </w:trPr>
        <w:tc>
          <w:tcPr>
            <w:tcW w:w="278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南江县机关事务服务中心</w:t>
            </w:r>
          </w:p>
        </w:tc>
      </w:tr>
      <w:tr>
        <w:tblPrEx>
          <w:tblLayout w:type="fixed"/>
          <w:tblCellMar>
            <w:top w:w="0" w:type="dxa"/>
            <w:left w:w="0" w:type="dxa"/>
            <w:bottom w:w="0" w:type="dxa"/>
            <w:right w:w="0" w:type="dxa"/>
          </w:tblCellMar>
        </w:tblPrEx>
        <w:trPr>
          <w:trHeight w:val="78" w:hRule="atLeast"/>
        </w:trPr>
        <w:tc>
          <w:tcPr>
            <w:tcW w:w="3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13.5万元</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13.5万元</w:t>
            </w:r>
          </w:p>
        </w:tc>
      </w:tr>
      <w:tr>
        <w:tblPrEx>
          <w:tblLayout w:type="fixed"/>
          <w:tblCellMar>
            <w:top w:w="0" w:type="dxa"/>
            <w:left w:w="0" w:type="dxa"/>
            <w:bottom w:w="0" w:type="dxa"/>
            <w:right w:w="0" w:type="dxa"/>
          </w:tblCellMar>
        </w:tblPrEx>
        <w:trPr>
          <w:trHeight w:val="78"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13.5万元</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13.5万元</w:t>
            </w:r>
          </w:p>
        </w:tc>
      </w:tr>
      <w:tr>
        <w:tblPrEx>
          <w:tblLayout w:type="fixed"/>
          <w:tblCellMar>
            <w:top w:w="0" w:type="dxa"/>
            <w:left w:w="0" w:type="dxa"/>
            <w:bottom w:w="0" w:type="dxa"/>
            <w:right w:w="0" w:type="dxa"/>
          </w:tblCellMar>
        </w:tblPrEx>
        <w:trPr>
          <w:trHeight w:val="430"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w:t>
            </w:r>
            <w:r>
              <w:rPr>
                <w:rFonts w:hint="eastAsia" w:ascii="宋体" w:hAnsi="宋体" w:cs="宋体"/>
                <w:color w:val="000000"/>
                <w:kern w:val="0"/>
                <w:sz w:val="24"/>
                <w:lang w:eastAsia="zh-CN"/>
              </w:rPr>
              <w:t>他</w:t>
            </w:r>
            <w:r>
              <w:rPr>
                <w:rFonts w:hint="eastAsia" w:ascii="宋体" w:hAnsi="宋体" w:cs="宋体"/>
                <w:color w:val="000000"/>
                <w:kern w:val="0"/>
                <w:sz w:val="24"/>
              </w:rPr>
              <w:t>资金:</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8" w:hRule="atLeast"/>
        </w:trPr>
        <w:tc>
          <w:tcPr>
            <w:tcW w:w="3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403"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保障广场设施正常使用</w:t>
            </w:r>
          </w:p>
        </w:tc>
        <w:tc>
          <w:tcPr>
            <w:tcW w:w="47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保障广场设施正常使用</w:t>
            </w:r>
          </w:p>
        </w:tc>
      </w:tr>
      <w:tr>
        <w:tblPrEx>
          <w:tblLayout w:type="fixed"/>
          <w:tblCellMar>
            <w:top w:w="0" w:type="dxa"/>
            <w:left w:w="0" w:type="dxa"/>
            <w:bottom w:w="0" w:type="dxa"/>
            <w:right w:w="0" w:type="dxa"/>
          </w:tblCellMar>
        </w:tblPrEx>
        <w:trPr>
          <w:trHeight w:val="296" w:hRule="atLeast"/>
        </w:trPr>
        <w:tc>
          <w:tcPr>
            <w:tcW w:w="3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271"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369"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96"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96"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96"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保障黄桷树日常维护及后山绿化维护</w:t>
            </w: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保障黄桷树日常维护及后山绿化维护</w:t>
            </w:r>
          </w:p>
        </w:tc>
      </w:tr>
      <w:tr>
        <w:tblPrEx>
          <w:tblLayout w:type="fixed"/>
          <w:tblCellMar>
            <w:top w:w="0" w:type="dxa"/>
            <w:left w:w="0" w:type="dxa"/>
            <w:bottom w:w="0" w:type="dxa"/>
            <w:right w:w="0" w:type="dxa"/>
          </w:tblCellMar>
        </w:tblPrEx>
        <w:trPr>
          <w:trHeight w:val="296"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96"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369"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369"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98" w:hRule="atLeast"/>
        </w:trPr>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numPr>
          <w:ilvl w:val="0"/>
          <w:numId w:val="2"/>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本部门按要求对2021年部门整体支出绩效评价情况开展自评，《机关事务服务中心2021年部门整体支出绩效评价报告》见附件。</w:t>
      </w:r>
    </w:p>
    <w:p>
      <w:pPr>
        <w:spacing w:line="600" w:lineRule="exact"/>
        <w:ind w:firstLine="480" w:firstLineChars="1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0"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2021</w:t>
      </w:r>
      <w:r>
        <w:rPr>
          <w:rFonts w:hint="eastAsia" w:ascii="仿宋_GB2312" w:eastAsia="仿宋_GB2312"/>
          <w:color w:val="000000"/>
          <w:sz w:val="32"/>
          <w:szCs w:val="32"/>
        </w:rPr>
        <w:t>年，南江县机关事务服务中心机关运行经费支出239.35万元，比</w:t>
      </w:r>
      <w:r>
        <w:rPr>
          <w:rFonts w:ascii="仿宋_GB2312" w:eastAsia="仿宋_GB2312"/>
          <w:color w:val="000000"/>
          <w:sz w:val="32"/>
          <w:szCs w:val="32"/>
        </w:rPr>
        <w:t>20</w:t>
      </w:r>
      <w:r>
        <w:rPr>
          <w:rFonts w:hint="eastAsia" w:ascii="仿宋_GB2312" w:eastAsia="仿宋_GB2312"/>
          <w:color w:val="000000"/>
          <w:sz w:val="32"/>
          <w:szCs w:val="32"/>
        </w:rPr>
        <w:t>20年增加173.04万元，增加260.96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 w:hAnsi="仿宋" w:eastAsia="仿宋"/>
          <w:color w:val="000000"/>
          <w:sz w:val="32"/>
          <w:szCs w:val="32"/>
        </w:rPr>
        <w:t>年初预算时将驾驶员差旅费纳入年初预算机关运行费。</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_GB2312" w:eastAsia="仿宋_GB2312"/>
          <w:color w:val="000000"/>
          <w:sz w:val="32"/>
          <w:szCs w:val="32"/>
        </w:rPr>
        <w:t>2021年，</w:t>
      </w:r>
      <w:r>
        <w:rPr>
          <w:rFonts w:hint="eastAsia" w:ascii="仿宋" w:hAnsi="仿宋" w:eastAsia="仿宋"/>
          <w:color w:val="000000"/>
          <w:sz w:val="32"/>
          <w:szCs w:val="32"/>
        </w:rPr>
        <w:t>南江县机关事务服务中心</w:t>
      </w:r>
      <w:r>
        <w:rPr>
          <w:rFonts w:hint="eastAsia" w:ascii="仿宋_GB2312" w:eastAsia="仿宋_GB2312"/>
          <w:color w:val="000000"/>
          <w:sz w:val="32"/>
          <w:szCs w:val="32"/>
        </w:rPr>
        <w:t>政府采购支出总额0万元</w:t>
      </w:r>
      <w:r>
        <w:rPr>
          <w:rFonts w:hint="eastAsia" w:ascii="仿宋_GB2312" w:eastAsia="仿宋_GB2312"/>
          <w:color w:val="333333"/>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2021年12月31日，南江县机关事务服务中心共有车辆64辆(实有公务用车69辆，因部门划转的公务用车于2017年已交付南江县机关事务管理局下属的公务用车保障服务中心统一调度，但部分单位和部门仍未及时在资产系统进行公务用车资产划转处理，造成实有公务用车与账面和决算数据不一致)。</w:t>
      </w:r>
    </w:p>
    <w:p>
      <w:pPr>
        <w:widowControl/>
        <w:jc w:val="left"/>
        <w:rPr>
          <w:rStyle w:val="25"/>
          <w:rFonts w:ascii="黑体" w:hAnsi="黑体" w:eastAsia="黑体"/>
          <w:b w:val="0"/>
        </w:rPr>
      </w:pPr>
      <w:r>
        <w:rPr>
          <w:rFonts w:ascii="仿宋_GB2312" w:eastAsia="仿宋_GB2312"/>
          <w:b/>
          <w:color w:val="000000"/>
          <w:sz w:val="32"/>
          <w:szCs w:val="32"/>
        </w:rPr>
        <w:br w:type="page"/>
      </w: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hAnsi="仿宋" w:eastAsia="仿宋_GB2312" w:cs="Arial"/>
          <w:sz w:val="32"/>
          <w:szCs w:val="32"/>
        </w:rPr>
      </w:pPr>
      <w:r>
        <w:rPr>
          <w:rFonts w:ascii="仿宋_GB2312" w:eastAsia="仿宋_GB2312"/>
          <w:sz w:val="32"/>
          <w:szCs w:val="32"/>
        </w:rPr>
        <w:t>3.</w:t>
      </w:r>
      <w:r>
        <w:rPr>
          <w:rFonts w:hint="eastAsia" w:ascii="仿宋_GB2312" w:eastAsia="仿宋_GB2312"/>
          <w:sz w:val="32"/>
          <w:szCs w:val="32"/>
        </w:rPr>
        <w:t>经营收入：</w:t>
      </w:r>
      <w:r>
        <w:rPr>
          <w:rFonts w:hint="eastAsia" w:ascii="仿宋_GB2312" w:hAnsi="仿宋" w:eastAsia="仿宋_GB2312" w:cs="Arial"/>
          <w:sz w:val="32"/>
          <w:szCs w:val="32"/>
        </w:rPr>
        <w:t>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Style w:val="15"/>
          <w:rFonts w:ascii="仿宋" w:hAnsi="仿宋" w:eastAsia="仿宋"/>
          <w:b w:val="0"/>
          <w:bCs/>
          <w:color w:val="000000"/>
          <w:sz w:val="32"/>
          <w:szCs w:val="32"/>
        </w:rPr>
      </w:pPr>
      <w:r>
        <w:rPr>
          <w:rFonts w:ascii="仿宋_GB2312" w:eastAsia="仿宋_GB2312"/>
          <w:color w:val="000000"/>
          <w:sz w:val="32"/>
          <w:szCs w:val="32"/>
        </w:rPr>
        <w:t>9</w:t>
      </w:r>
      <w:r>
        <w:rPr>
          <w:rStyle w:val="15"/>
          <w:rFonts w:hint="eastAsia" w:ascii="仿宋" w:hAnsi="仿宋" w:eastAsia="仿宋"/>
          <w:b w:val="0"/>
          <w:bCs/>
          <w:color w:val="000000"/>
          <w:sz w:val="32"/>
          <w:szCs w:val="32"/>
        </w:rPr>
        <w:t>一般公共服务支出-政府办公厅（室）及相关机构事务-机关服务支出指为行政和参照公务员法管理事业单位提供公务用车、会议、广场及党政中心办公大楼维修维护等后勤服务保障工作支出。</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10.一般公共服务支出-政府办公厅（室）及相关机构事务-事业运行支出决算指单位部分事业支出。</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11.</w:t>
      </w:r>
      <w:r>
        <w:rPr>
          <w:rStyle w:val="15"/>
          <w:rFonts w:hint="eastAsia" w:ascii="仿宋" w:hAnsi="仿宋" w:eastAsia="仿宋"/>
          <w:b w:val="0"/>
          <w:bCs/>
          <w:color w:val="000000"/>
          <w:sz w:val="32"/>
          <w:szCs w:val="32"/>
        </w:rPr>
        <w:t>社会保障和就业支出-行政事业单位离退休-机关事业单位基本养老保险费支出指单位在编在岗职工养老保险单位缴费部分。</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12.社会保障和就业支出-财政对其他社会保险基金的补助-财政对失业保险基金的补助指单位在编在岗职工社会保险单位缴费。</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13.社会保障和就业支出-财政对其他社会保险基金的补助-财政对工伤保险基金的补助指单位在编在岗职工社会保险单位缴费。</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14.社会保障和就业支出-财政对其他社会保险基金的补助-财政对生育保险基金的补助指单位在编在岗职工社会保险单位缴费。</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15.</w:t>
      </w:r>
      <w:r>
        <w:rPr>
          <w:rFonts w:hint="eastAsia"/>
        </w:rPr>
        <w:t xml:space="preserve"> </w:t>
      </w:r>
      <w:r>
        <w:rPr>
          <w:rStyle w:val="15"/>
          <w:rFonts w:hint="eastAsia" w:ascii="仿宋" w:hAnsi="仿宋" w:eastAsia="仿宋"/>
          <w:b w:val="0"/>
          <w:bCs/>
          <w:color w:val="000000"/>
          <w:sz w:val="32"/>
          <w:szCs w:val="32"/>
        </w:rPr>
        <w:t>卫生健康支出-行政事业单位医疗-事业单位医疗指单位在编在岗职工医疗保险单位缴费。；</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16.</w:t>
      </w:r>
      <w:r>
        <w:rPr>
          <w:rFonts w:hint="eastAsia"/>
        </w:rPr>
        <w:t xml:space="preserve"> </w:t>
      </w:r>
      <w:r>
        <w:rPr>
          <w:rStyle w:val="15"/>
          <w:rFonts w:hint="eastAsia" w:ascii="仿宋" w:hAnsi="仿宋" w:eastAsia="仿宋"/>
          <w:b w:val="0"/>
          <w:bCs/>
          <w:color w:val="000000"/>
          <w:sz w:val="32"/>
          <w:szCs w:val="32"/>
        </w:rPr>
        <w:t>卫生健康支出-行政事业单位医疗-公务员医疗补助指单位在编在岗公务员医疗补助缴费。</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17.</w:t>
      </w:r>
      <w:r>
        <w:rPr>
          <w:rFonts w:hint="eastAsia" w:ascii="仿宋" w:hAnsi="仿宋" w:eastAsia="仿宋"/>
          <w:color w:val="000000"/>
          <w:sz w:val="32"/>
          <w:szCs w:val="32"/>
        </w:rPr>
        <w:t>住房保障支出-住房改革支出-住房公积金</w:t>
      </w:r>
      <w:r>
        <w:rPr>
          <w:rStyle w:val="15"/>
          <w:rFonts w:hint="eastAsia" w:ascii="仿宋" w:hAnsi="仿宋" w:eastAsia="仿宋"/>
          <w:b w:val="0"/>
          <w:bCs/>
          <w:color w:val="000000"/>
          <w:sz w:val="32"/>
          <w:szCs w:val="32"/>
        </w:rPr>
        <w:t>指单位在编在岗职工住房公积金单位缴费</w:t>
      </w:r>
      <w:r>
        <w:rPr>
          <w:rFonts w:hint="eastAsia" w:ascii="仿宋" w:hAnsi="仿宋" w:eastAsia="仿宋"/>
          <w:color w:val="000000"/>
          <w:sz w:val="32"/>
          <w:szCs w:val="32"/>
        </w:rPr>
        <w:t>。</w:t>
      </w:r>
    </w:p>
    <w:p>
      <w:pPr>
        <w:spacing w:line="5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18.城乡社区支出-城乡社区管理事务-机关服务主要为全域旅游发展资金。</w:t>
      </w:r>
    </w:p>
    <w:p>
      <w:pPr>
        <w:spacing w:line="5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19.城乡社区支出-城市基础设施配套费安排的支出-城市环境卫生主要用于广场及党政中心办公大楼公共区域的绿化、亮化、基础设施等日常维修维护等支出及广场黄桷树维护及后山管护费用。</w:t>
      </w:r>
    </w:p>
    <w:p>
      <w:pPr>
        <w:spacing w:line="5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20.其他支出-其他政府性基金及对应专项债务收入安排的支出-其他政府性基金及对应专项债务收入安排的支出主要用于购置公务用车购置。</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00" w:lineRule="exact"/>
        <w:ind w:firstLine="640" w:firstLineChars="200"/>
        <w:rPr>
          <w:rFonts w:ascii="仿宋_GB2312" w:eastAsia="仿宋_GB2312"/>
          <w:sz w:val="32"/>
          <w:szCs w:val="32"/>
        </w:rPr>
      </w:pPr>
      <w:r>
        <w:rPr>
          <w:rFonts w:hint="eastAsia" w:ascii="仿宋_GB2312" w:eastAsia="仿宋_GB2312"/>
          <w:sz w:val="32"/>
          <w:szCs w:val="32"/>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0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w:t>
      </w:r>
      <w:bookmarkStart w:id="61" w:name="_GoBack"/>
      <w:bookmarkEnd w:id="61"/>
      <w:r>
        <w:rPr>
          <w:rStyle w:val="25"/>
          <w:rFonts w:hint="eastAsia" w:ascii="黑体" w:hAnsi="黑体" w:eastAsia="黑体"/>
          <w:b w:val="0"/>
        </w:rPr>
        <w:t>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pStyle w:val="12"/>
        <w:adjustRightInd w:val="0"/>
        <w:snapToGrid w:val="0"/>
        <w:spacing w:before="0" w:beforeAutospacing="0" w:after="0" w:afterAutospacing="0" w:line="600" w:lineRule="exact"/>
        <w:jc w:val="center"/>
        <w:textAlignment w:val="baseline"/>
        <w:rPr>
          <w:rFonts w:ascii="方正小标宋简体" w:hAnsi="黑体" w:eastAsia="方正小标宋简体" w:cs="Arial"/>
          <w:b/>
          <w:color w:val="333333"/>
          <w:sz w:val="44"/>
          <w:szCs w:val="44"/>
        </w:rPr>
      </w:pPr>
      <w:r>
        <w:rPr>
          <w:rFonts w:hint="eastAsia" w:ascii="方正小标宋简体" w:hAnsi="黑体" w:eastAsia="方正小标宋简体" w:cs="Arial"/>
          <w:b/>
          <w:color w:val="333333"/>
          <w:sz w:val="44"/>
          <w:szCs w:val="44"/>
        </w:rPr>
        <w:t>南江县机关事务服务中心</w:t>
      </w:r>
    </w:p>
    <w:p>
      <w:pPr>
        <w:pStyle w:val="12"/>
        <w:adjustRightInd w:val="0"/>
        <w:snapToGrid w:val="0"/>
        <w:spacing w:before="0" w:beforeAutospacing="0" w:after="0" w:afterAutospacing="0" w:line="600" w:lineRule="exact"/>
        <w:ind w:firstLine="573"/>
        <w:jc w:val="center"/>
        <w:textAlignment w:val="baseline"/>
        <w:rPr>
          <w:rFonts w:ascii="方正小标宋简体" w:hAnsi="黑体" w:eastAsia="方正小标宋简体" w:cs="Arial"/>
          <w:b/>
          <w:color w:val="333333"/>
          <w:sz w:val="44"/>
          <w:szCs w:val="44"/>
        </w:rPr>
      </w:pPr>
      <w:r>
        <w:rPr>
          <w:rFonts w:hint="eastAsia" w:ascii="方正小标宋简体" w:hAnsi="黑体" w:eastAsia="方正小标宋简体" w:cs="Arial"/>
          <w:b/>
          <w:color w:val="333333"/>
          <w:sz w:val="44"/>
          <w:szCs w:val="44"/>
        </w:rPr>
        <w:t>2021年整体支出绩效评价报告</w:t>
      </w:r>
    </w:p>
    <w:p>
      <w:pPr>
        <w:pStyle w:val="12"/>
        <w:adjustRightInd w:val="0"/>
        <w:snapToGrid w:val="0"/>
        <w:spacing w:before="0" w:beforeAutospacing="0" w:after="0" w:afterAutospacing="0" w:line="560" w:lineRule="exact"/>
        <w:ind w:firstLine="570"/>
        <w:textAlignment w:val="baseline"/>
        <w:rPr>
          <w:rFonts w:ascii="仿宋_GB2312" w:hAnsi="Arial" w:eastAsia="仿宋_GB2312" w:cs="Arial"/>
          <w:color w:val="333333"/>
          <w:sz w:val="28"/>
          <w:szCs w:val="28"/>
        </w:rPr>
      </w:pPr>
    </w:p>
    <w:p>
      <w:pPr>
        <w:pStyle w:val="12"/>
        <w:adjustRightInd w:val="0"/>
        <w:snapToGrid w:val="0"/>
        <w:spacing w:before="0" w:beforeAutospacing="0" w:after="0" w:afterAutospacing="0" w:line="560" w:lineRule="exact"/>
        <w:textAlignment w:val="baseline"/>
        <w:rPr>
          <w:rFonts w:ascii="仿宋_GB2312" w:hAnsi="Arial" w:eastAsia="仿宋_GB2312" w:cs="Arial"/>
          <w:color w:val="333333"/>
          <w:sz w:val="32"/>
          <w:szCs w:val="32"/>
        </w:rPr>
      </w:pPr>
      <w:r>
        <w:rPr>
          <w:rFonts w:hint="eastAsia" w:ascii="仿宋_GB2312" w:hAnsi="Arial" w:eastAsia="仿宋_GB2312" w:cs="Arial"/>
          <w:color w:val="333333"/>
          <w:sz w:val="32"/>
          <w:szCs w:val="32"/>
        </w:rPr>
        <w:t xml:space="preserve">    根据南江县财政局《关于开展2022年部门、政策和项目支出绩效评价工作的通知》(南财绩〔2022〕5号)要求，我中心对财政资金整体支出绩效进行认真自评。现将有关情况报告于后。</w:t>
      </w:r>
    </w:p>
    <w:p>
      <w:pPr>
        <w:pStyle w:val="12"/>
        <w:adjustRightInd w:val="0"/>
        <w:snapToGrid w:val="0"/>
        <w:spacing w:before="0" w:beforeAutospacing="0" w:after="0" w:afterAutospacing="0" w:line="560" w:lineRule="exact"/>
        <w:textAlignment w:val="baseline"/>
        <w:rPr>
          <w:rFonts w:ascii="黑体" w:hAnsi="Arial" w:eastAsia="黑体" w:cs="Arial"/>
          <w:b/>
          <w:color w:val="333333"/>
          <w:sz w:val="32"/>
          <w:szCs w:val="32"/>
        </w:rPr>
      </w:pPr>
      <w:r>
        <w:rPr>
          <w:rFonts w:hint="eastAsia" w:ascii="黑体" w:hAnsi="Arial" w:eastAsia="黑体" w:cs="Arial"/>
          <w:b/>
          <w:color w:val="333333"/>
          <w:sz w:val="32"/>
          <w:szCs w:val="32"/>
        </w:rPr>
        <w:t xml:space="preserve">    一、部门概况</w:t>
      </w:r>
    </w:p>
    <w:p>
      <w:pPr>
        <w:pStyle w:val="12"/>
        <w:adjustRightInd w:val="0"/>
        <w:snapToGrid w:val="0"/>
        <w:spacing w:before="0" w:beforeAutospacing="0" w:after="0" w:afterAutospacing="0" w:line="560" w:lineRule="exact"/>
        <w:textAlignment w:val="baseline"/>
        <w:rPr>
          <w:rFonts w:ascii="仿宋_GB2312" w:hAnsi="Arial" w:eastAsia="仿宋_GB2312" w:cs="Arial"/>
          <w:b/>
          <w:color w:val="333333"/>
          <w:sz w:val="32"/>
          <w:szCs w:val="32"/>
        </w:rPr>
      </w:pPr>
      <w:r>
        <w:rPr>
          <w:rFonts w:hint="eastAsia" w:ascii="黑体" w:hAnsi="Arial" w:eastAsia="黑体" w:cs="Arial"/>
          <w:b/>
          <w:color w:val="333333"/>
          <w:sz w:val="32"/>
          <w:szCs w:val="32"/>
        </w:rPr>
        <w:t xml:space="preserve">    </w:t>
      </w:r>
      <w:r>
        <w:rPr>
          <w:rFonts w:hint="eastAsia" w:ascii="楷体_GB2312" w:hAnsi="Arial" w:eastAsia="楷体_GB2312" w:cs="Arial"/>
          <w:b/>
          <w:color w:val="333333"/>
          <w:sz w:val="32"/>
          <w:szCs w:val="32"/>
        </w:rPr>
        <w:t>(一)机构组成。</w:t>
      </w:r>
      <w:r>
        <w:rPr>
          <w:rFonts w:hint="eastAsia" w:ascii="仿宋_GB2312" w:eastAsia="仿宋_GB2312"/>
          <w:sz w:val="32"/>
          <w:szCs w:val="32"/>
        </w:rPr>
        <w:t>南江县机关事务服务中心系参照公务员法管理的事业单位，内设办公室(信访室)、财务股、公共节能管理股等6个股室，下设公益一类事业单位南江县公务用车保障服务中心。</w:t>
      </w:r>
    </w:p>
    <w:p>
      <w:pPr>
        <w:adjustRightInd w:val="0"/>
        <w:snapToGrid w:val="0"/>
        <w:spacing w:line="560" w:lineRule="exact"/>
        <w:ind w:firstLine="643" w:firstLineChars="200"/>
        <w:rPr>
          <w:rFonts w:ascii="仿宋_GB2312" w:hAnsi="宋体" w:eastAsia="仿宋_GB2312"/>
          <w:sz w:val="32"/>
          <w:szCs w:val="32"/>
        </w:rPr>
      </w:pPr>
      <w:r>
        <w:rPr>
          <w:rFonts w:hint="eastAsia" w:ascii="楷体_GB2312" w:hAnsi="Arial" w:eastAsia="楷体_GB2312" w:cs="Arial"/>
          <w:b/>
          <w:color w:val="333333"/>
          <w:kern w:val="0"/>
          <w:sz w:val="32"/>
          <w:szCs w:val="32"/>
        </w:rPr>
        <w:t>(二)机构职能。</w:t>
      </w:r>
      <w:r>
        <w:rPr>
          <w:rFonts w:hint="eastAsia" w:ascii="仿宋_GB2312" w:hAnsi="宋体" w:eastAsia="仿宋_GB2312"/>
          <w:sz w:val="32"/>
          <w:szCs w:val="32"/>
        </w:rPr>
        <w:t>贯彻执行中央、省、市有关政策和规定，拟定县机关事务管理政策、规划和规章制度并监督实施。履行公务用车、办公用房、公务接待、后勤保障、公共机构节能管理等职责。具体负责党政中心集中办公区设施设备运行维护、清扫保洁以及机关食堂、机关招待所、会议中心的管理和服务及集中保留公务用车统一管理调度等工作。</w:t>
      </w:r>
    </w:p>
    <w:p>
      <w:pPr>
        <w:adjustRightInd w:val="0"/>
        <w:snapToGrid w:val="0"/>
        <w:spacing w:line="560" w:lineRule="exact"/>
        <w:ind w:firstLine="643" w:firstLineChars="200"/>
        <w:rPr>
          <w:rFonts w:ascii="仿宋_GB2312" w:hAnsi="宋体" w:eastAsia="仿宋_GB2312"/>
          <w:sz w:val="32"/>
          <w:szCs w:val="32"/>
        </w:rPr>
      </w:pPr>
      <w:r>
        <w:rPr>
          <w:rFonts w:hint="eastAsia" w:ascii="楷体_GB2312" w:hAnsi="Arial" w:eastAsia="楷体_GB2312" w:cs="Arial"/>
          <w:b/>
          <w:color w:val="333333"/>
          <w:kern w:val="0"/>
          <w:sz w:val="32"/>
          <w:szCs w:val="32"/>
        </w:rPr>
        <w:t>(三)人员概况。</w:t>
      </w:r>
      <w:r>
        <w:rPr>
          <w:rFonts w:hint="eastAsia" w:ascii="仿宋_GB2312" w:hAnsi="宋体" w:eastAsia="仿宋_GB2312"/>
          <w:sz w:val="32"/>
          <w:szCs w:val="32"/>
        </w:rPr>
        <w:t>核定编制27个，实有在编在岗25人(参公管理人员6名、机关工勤人员11名、事业人员9名)。同时，根据机关事务管理工作需要，临聘工作人员97名。</w:t>
      </w:r>
    </w:p>
    <w:p>
      <w:pPr>
        <w:pStyle w:val="12"/>
        <w:adjustRightInd w:val="0"/>
        <w:snapToGrid w:val="0"/>
        <w:spacing w:before="0" w:beforeAutospacing="0" w:after="0" w:afterAutospacing="0" w:line="560" w:lineRule="exact"/>
        <w:textAlignment w:val="baseline"/>
        <w:rPr>
          <w:rFonts w:ascii="黑体" w:hAnsi="Arial" w:eastAsia="黑体" w:cs="Arial"/>
          <w:b/>
          <w:color w:val="333333"/>
          <w:sz w:val="32"/>
          <w:szCs w:val="32"/>
        </w:rPr>
      </w:pPr>
      <w:r>
        <w:rPr>
          <w:rFonts w:hint="eastAsia" w:ascii="黑体" w:hAnsi="Arial" w:eastAsia="黑体" w:cs="Arial"/>
          <w:b/>
          <w:color w:val="333333"/>
          <w:sz w:val="32"/>
          <w:szCs w:val="32"/>
        </w:rPr>
        <w:t xml:space="preserve">    二、部门财政资金收支情况</w:t>
      </w:r>
    </w:p>
    <w:p>
      <w:pPr>
        <w:pStyle w:val="12"/>
        <w:adjustRightInd w:val="0"/>
        <w:snapToGrid w:val="0"/>
        <w:spacing w:before="0" w:beforeAutospacing="0" w:after="0" w:afterAutospacing="0" w:line="560" w:lineRule="exact"/>
        <w:textAlignment w:val="baseline"/>
        <w:rPr>
          <w:rFonts w:ascii="黑体" w:hAnsi="Arial" w:eastAsia="黑体" w:cs="Arial"/>
          <w:b/>
          <w:color w:val="333333"/>
          <w:sz w:val="32"/>
          <w:szCs w:val="32"/>
        </w:rPr>
      </w:pPr>
      <w:r>
        <w:rPr>
          <w:rFonts w:hint="eastAsia" w:ascii="黑体" w:hAnsi="Arial" w:eastAsia="黑体" w:cs="Arial"/>
          <w:b/>
          <w:color w:val="333333"/>
          <w:sz w:val="32"/>
          <w:szCs w:val="32"/>
        </w:rPr>
        <w:t xml:space="preserve">    </w:t>
      </w:r>
      <w:r>
        <w:rPr>
          <w:rFonts w:hint="eastAsia" w:ascii="楷体_GB2312" w:hAnsi="Arial" w:eastAsia="楷体_GB2312" w:cs="Arial"/>
          <w:b/>
          <w:color w:val="333333"/>
          <w:sz w:val="32"/>
          <w:szCs w:val="32"/>
        </w:rPr>
        <w:t>(一)部</w:t>
      </w:r>
      <w:r>
        <w:rPr>
          <w:rFonts w:hint="eastAsia" w:ascii="楷体_GB2312" w:hAnsi="Arial" w:eastAsia="楷体_GB2312" w:cs="Arial"/>
          <w:b/>
          <w:color w:val="333333"/>
          <w:spacing w:val="-2"/>
          <w:sz w:val="32"/>
          <w:szCs w:val="32"/>
        </w:rPr>
        <w:t>门财政资金收入情况。</w:t>
      </w:r>
      <w:r>
        <w:rPr>
          <w:rFonts w:hint="eastAsia" w:ascii="仿宋_GB2312" w:hAnsi="Arial" w:eastAsia="仿宋_GB2312" w:cs="Arial"/>
          <w:color w:val="333333"/>
          <w:spacing w:val="-2"/>
          <w:sz w:val="32"/>
          <w:szCs w:val="32"/>
        </w:rPr>
        <w:t>2021年本年收入合计</w:t>
      </w:r>
      <w:r>
        <w:rPr>
          <w:rFonts w:ascii="仿宋_GB2312" w:hAnsi="Arial" w:eastAsia="仿宋_GB2312" w:cs="Arial"/>
          <w:color w:val="333333"/>
          <w:spacing w:val="-2"/>
          <w:sz w:val="32"/>
          <w:szCs w:val="32"/>
        </w:rPr>
        <w:t>1,567.65</w:t>
      </w:r>
      <w:r>
        <w:rPr>
          <w:rFonts w:hint="eastAsia" w:ascii="仿宋_GB2312" w:hAnsi="Arial" w:eastAsia="仿宋_GB2312" w:cs="Arial"/>
          <w:color w:val="333333"/>
          <w:spacing w:val="-2"/>
          <w:sz w:val="32"/>
          <w:szCs w:val="32"/>
        </w:rPr>
        <w:t>万元，其中：一般公共预算财政拨款收入</w:t>
      </w:r>
      <w:r>
        <w:rPr>
          <w:rFonts w:ascii="仿宋_GB2312" w:hAnsi="Arial" w:eastAsia="仿宋_GB2312" w:cs="Arial"/>
          <w:color w:val="333333"/>
          <w:spacing w:val="-2"/>
          <w:sz w:val="32"/>
          <w:szCs w:val="32"/>
        </w:rPr>
        <w:t>1,525.15</w:t>
      </w:r>
      <w:r>
        <w:rPr>
          <w:rFonts w:hint="eastAsia" w:ascii="仿宋_GB2312" w:hAnsi="Arial" w:eastAsia="仿宋_GB2312" w:cs="Arial"/>
          <w:color w:val="333333"/>
          <w:spacing w:val="-2"/>
          <w:sz w:val="32"/>
          <w:szCs w:val="32"/>
        </w:rPr>
        <w:t>万元，占97.29%；政府性基金预算财政拨款收入</w:t>
      </w:r>
      <w:r>
        <w:rPr>
          <w:rFonts w:ascii="仿宋_GB2312" w:hAnsi="Arial" w:eastAsia="仿宋_GB2312" w:cs="Arial"/>
          <w:color w:val="333333"/>
          <w:spacing w:val="-2"/>
          <w:sz w:val="32"/>
          <w:szCs w:val="32"/>
        </w:rPr>
        <w:t>42.50</w:t>
      </w:r>
      <w:r>
        <w:rPr>
          <w:rFonts w:hint="eastAsia" w:ascii="仿宋_GB2312" w:hAnsi="Arial" w:eastAsia="仿宋_GB2312" w:cs="Arial"/>
          <w:color w:val="333333"/>
          <w:spacing w:val="-2"/>
          <w:sz w:val="32"/>
          <w:szCs w:val="32"/>
        </w:rPr>
        <w:t>，占2.71%</w:t>
      </w:r>
      <w:r>
        <w:rPr>
          <w:rFonts w:hint="eastAsia" w:ascii="仿宋_GB2312" w:hAnsi="Arial" w:eastAsia="仿宋_GB2312" w:cs="Arial"/>
          <w:color w:val="333333"/>
          <w:sz w:val="32"/>
          <w:szCs w:val="32"/>
        </w:rPr>
        <w:t>。</w:t>
      </w:r>
    </w:p>
    <w:p>
      <w:pPr>
        <w:pStyle w:val="12"/>
        <w:adjustRightInd w:val="0"/>
        <w:snapToGrid w:val="0"/>
        <w:spacing w:before="0" w:beforeAutospacing="0" w:after="0" w:afterAutospacing="0" w:line="560" w:lineRule="exact"/>
        <w:textAlignment w:val="baseline"/>
        <w:rPr>
          <w:rFonts w:ascii="黑体" w:hAnsi="Arial" w:eastAsia="黑体" w:cs="Arial"/>
          <w:b/>
          <w:color w:val="333333"/>
          <w:sz w:val="32"/>
          <w:szCs w:val="32"/>
        </w:rPr>
      </w:pPr>
      <w:r>
        <w:rPr>
          <w:rFonts w:hint="eastAsia" w:ascii="黑体" w:hAnsi="Arial" w:eastAsia="黑体" w:cs="Arial"/>
          <w:b/>
          <w:color w:val="333333"/>
          <w:sz w:val="32"/>
          <w:szCs w:val="32"/>
        </w:rPr>
        <w:t xml:space="preserve">    </w:t>
      </w:r>
      <w:r>
        <w:rPr>
          <w:rFonts w:hint="eastAsia" w:ascii="楷体_GB2312" w:hAnsi="Arial" w:eastAsia="楷体_GB2312" w:cs="Arial"/>
          <w:b/>
          <w:color w:val="333333"/>
          <w:sz w:val="32"/>
          <w:szCs w:val="32"/>
        </w:rPr>
        <w:t>(二)部门财政资金支出情况。</w:t>
      </w:r>
      <w:r>
        <w:rPr>
          <w:rFonts w:hint="eastAsia" w:ascii="仿宋_GB2312" w:hAnsi="Arial" w:eastAsia="仿宋_GB2312" w:cs="Arial"/>
          <w:color w:val="333333"/>
          <w:sz w:val="32"/>
          <w:szCs w:val="32"/>
        </w:rPr>
        <w:t>部门财政资金支出情况。2021年本年支出合计1567.65万元，其中：基本支出</w:t>
      </w:r>
      <w:r>
        <w:rPr>
          <w:rFonts w:ascii="仿宋_GB2312" w:hAnsi="Arial" w:eastAsia="仿宋_GB2312" w:cs="Arial"/>
          <w:color w:val="333333"/>
          <w:sz w:val="32"/>
          <w:szCs w:val="32"/>
        </w:rPr>
        <w:t>768.05</w:t>
      </w:r>
      <w:r>
        <w:rPr>
          <w:rFonts w:hint="eastAsia" w:ascii="仿宋_GB2312" w:hAnsi="Arial" w:eastAsia="仿宋_GB2312" w:cs="Arial"/>
          <w:color w:val="333333"/>
          <w:sz w:val="32"/>
          <w:szCs w:val="32"/>
        </w:rPr>
        <w:t>万元，占49%；项目支出</w:t>
      </w:r>
      <w:r>
        <w:rPr>
          <w:rFonts w:ascii="仿宋_GB2312" w:hAnsi="Arial" w:eastAsia="仿宋_GB2312" w:cs="Arial"/>
          <w:color w:val="333333"/>
          <w:sz w:val="32"/>
          <w:szCs w:val="32"/>
        </w:rPr>
        <w:t>799.60</w:t>
      </w:r>
      <w:r>
        <w:rPr>
          <w:rFonts w:hint="eastAsia" w:ascii="仿宋_GB2312" w:hAnsi="Arial" w:eastAsia="仿宋_GB2312" w:cs="Arial"/>
          <w:color w:val="333333"/>
          <w:sz w:val="32"/>
          <w:szCs w:val="32"/>
        </w:rPr>
        <w:t>万元，占51%。</w:t>
      </w:r>
    </w:p>
    <w:p>
      <w:pPr>
        <w:pStyle w:val="12"/>
        <w:adjustRightInd w:val="0"/>
        <w:snapToGrid w:val="0"/>
        <w:spacing w:before="0" w:beforeAutospacing="0" w:after="0" w:afterAutospacing="0" w:line="500" w:lineRule="exact"/>
        <w:ind w:firstLine="630"/>
        <w:textAlignment w:val="baseline"/>
        <w:rPr>
          <w:rFonts w:ascii="黑体" w:hAnsi="Arial" w:eastAsia="黑体" w:cs="Arial"/>
          <w:b/>
          <w:color w:val="333333"/>
          <w:sz w:val="32"/>
          <w:szCs w:val="32"/>
        </w:rPr>
      </w:pPr>
      <w:r>
        <w:rPr>
          <w:rFonts w:hint="eastAsia" w:ascii="黑体" w:hAnsi="Arial" w:eastAsia="黑体" w:cs="Arial"/>
          <w:b/>
          <w:color w:val="333333"/>
          <w:sz w:val="32"/>
          <w:szCs w:val="32"/>
        </w:rPr>
        <w:t>三、部门财政支出管理情况</w:t>
      </w:r>
    </w:p>
    <w:p>
      <w:pPr>
        <w:pStyle w:val="12"/>
        <w:adjustRightInd w:val="0"/>
        <w:snapToGrid w:val="0"/>
        <w:spacing w:before="0" w:beforeAutospacing="0" w:after="0" w:afterAutospacing="0" w:line="500" w:lineRule="exact"/>
        <w:ind w:firstLine="630"/>
        <w:textAlignment w:val="baseline"/>
        <w:rPr>
          <w:rFonts w:ascii="仿宋_GB2312" w:hAnsi="Arial" w:eastAsia="仿宋_GB2312" w:cs="Arial"/>
          <w:color w:val="333333"/>
          <w:sz w:val="32"/>
          <w:szCs w:val="32"/>
        </w:rPr>
      </w:pPr>
      <w:r>
        <w:rPr>
          <w:rFonts w:hint="eastAsia" w:ascii="仿宋_GB2312" w:hAnsi="Arial" w:eastAsia="仿宋_GB2312" w:cs="Arial"/>
          <w:color w:val="333333"/>
          <w:sz w:val="32"/>
          <w:szCs w:val="32"/>
        </w:rPr>
        <w:t>2021年，我单位预算项目绩效有：保洁花工人员经费34.3万元全年预计执行预算数34.3万元，执行率100%；公务车辆运行维护费483万元，全年已执行483万元，执行率100%；机关食堂运行维护费171万元，全年已执行171万元，执行率100%；公务用车租赁费43万元，全年已执行43万元，执行率100%；党政中心办公楼日常运行经费18万元，全年已执行18万元，执行率100%；政府采购服务费（安保留置人员）4.4万元，全年已执行4.4万元，执行率100%；驻村工作经费3.4万元，全年已执行3.4万元，执行率100%；广场设施设备日常维护费（光亮工程及水电、园艺维护、广场维修维护费）29万元，全年已执行29万元，执行率100%；广场黄桷树维护及后山绿化管护经费13.5万元，全年已执行13.5万元，执行率100%。</w:t>
      </w:r>
    </w:p>
    <w:p>
      <w:pPr>
        <w:pStyle w:val="12"/>
        <w:adjustRightInd w:val="0"/>
        <w:snapToGrid w:val="0"/>
        <w:spacing w:before="0" w:beforeAutospacing="0" w:after="0" w:afterAutospacing="0" w:line="560" w:lineRule="exact"/>
        <w:textAlignment w:val="baseline"/>
        <w:rPr>
          <w:rFonts w:ascii="黑体" w:hAnsi="Arial" w:eastAsia="黑体" w:cs="Arial"/>
          <w:b/>
          <w:color w:val="333333"/>
          <w:sz w:val="32"/>
          <w:szCs w:val="32"/>
        </w:rPr>
      </w:pPr>
      <w:r>
        <w:rPr>
          <w:rFonts w:hint="eastAsia" w:ascii="黑体" w:hAnsi="Arial" w:eastAsia="黑体" w:cs="Arial"/>
          <w:b/>
          <w:color w:val="333333"/>
          <w:sz w:val="32"/>
          <w:szCs w:val="32"/>
        </w:rPr>
        <w:t xml:space="preserve">    </w:t>
      </w:r>
      <w:r>
        <w:rPr>
          <w:rFonts w:hint="eastAsia" w:ascii="楷体_GB2312" w:hAnsi="Arial" w:eastAsia="楷体_GB2312" w:cs="Arial"/>
          <w:b/>
          <w:color w:val="333333"/>
          <w:sz w:val="32"/>
          <w:szCs w:val="32"/>
        </w:rPr>
        <w:t>(一)制度建设情况。</w:t>
      </w:r>
      <w:r>
        <w:rPr>
          <w:rFonts w:hint="eastAsia" w:ascii="仿宋_GB2312" w:hAnsi="Arial" w:eastAsia="仿宋_GB2312" w:cs="Arial"/>
          <w:color w:val="333333"/>
          <w:sz w:val="32"/>
          <w:szCs w:val="32"/>
        </w:rPr>
        <w:t>按照上级有关规定，结合我单位实际，修订完善我中心《内控管理制度》《差旅费管理办法》《公务接待制度》《考勤制度》等一系列规章制度。同时，按照县财政的要求，规范了政府采购、单位公务用车保险、车辆定点维修等。</w:t>
      </w:r>
    </w:p>
    <w:p>
      <w:pPr>
        <w:pStyle w:val="12"/>
        <w:adjustRightInd w:val="0"/>
        <w:snapToGrid w:val="0"/>
        <w:spacing w:before="0" w:beforeAutospacing="0" w:after="0" w:afterAutospacing="0" w:line="560" w:lineRule="exact"/>
        <w:textAlignment w:val="baseline"/>
        <w:rPr>
          <w:rFonts w:ascii="仿宋_GB2312" w:hAnsi="Arial" w:eastAsia="仿宋_GB2312" w:cs="Arial"/>
          <w:color w:val="333333"/>
          <w:sz w:val="32"/>
          <w:szCs w:val="32"/>
        </w:rPr>
      </w:pPr>
      <w:r>
        <w:rPr>
          <w:rFonts w:hint="eastAsia" w:ascii="仿宋_GB2312" w:hAnsi="Arial" w:eastAsia="仿宋_GB2312" w:cs="Arial"/>
          <w:color w:val="333333"/>
          <w:sz w:val="32"/>
          <w:szCs w:val="32"/>
        </w:rPr>
        <w:t xml:space="preserve">    </w:t>
      </w:r>
      <w:r>
        <w:rPr>
          <w:rFonts w:hint="eastAsia" w:ascii="楷体_GB2312" w:hAnsi="Arial" w:eastAsia="楷体_GB2312" w:cs="Arial"/>
          <w:b/>
          <w:color w:val="333333"/>
          <w:sz w:val="32"/>
          <w:szCs w:val="32"/>
        </w:rPr>
        <w:t>(二)绩效目标管理情况。</w:t>
      </w:r>
      <w:r>
        <w:rPr>
          <w:rFonts w:hint="eastAsia" w:ascii="仿宋_GB2312" w:hAnsi="Arial" w:eastAsia="仿宋_GB2312" w:cs="Arial"/>
          <w:color w:val="333333"/>
          <w:sz w:val="32"/>
          <w:szCs w:val="32"/>
        </w:rPr>
        <w:t>年初，按照财政预算口径，结合单位自身情况，在编报项目预算时同步编报绩效目标，并与单位年度工作相衔接，确保各项工作顺利完成。</w:t>
      </w:r>
    </w:p>
    <w:p>
      <w:pPr>
        <w:pStyle w:val="12"/>
        <w:adjustRightInd w:val="0"/>
        <w:snapToGrid w:val="0"/>
        <w:spacing w:before="0" w:beforeAutospacing="0" w:after="0" w:afterAutospacing="0" w:line="560" w:lineRule="exact"/>
        <w:ind w:firstLine="570"/>
        <w:textAlignment w:val="baseline"/>
        <w:rPr>
          <w:rFonts w:ascii="仿宋_GB2312" w:hAnsi="Arial" w:eastAsia="仿宋_GB2312" w:cs="Arial"/>
          <w:color w:val="333333"/>
          <w:sz w:val="32"/>
          <w:szCs w:val="32"/>
        </w:rPr>
      </w:pPr>
      <w:r>
        <w:rPr>
          <w:rFonts w:hint="eastAsia" w:ascii="楷体_GB2312" w:hAnsi="Arial" w:eastAsia="楷体_GB2312" w:cs="Arial"/>
          <w:b/>
          <w:color w:val="333333"/>
          <w:sz w:val="32"/>
          <w:szCs w:val="32"/>
        </w:rPr>
        <w:t>(三)综合管理情况。</w:t>
      </w:r>
      <w:r>
        <w:rPr>
          <w:rFonts w:hint="eastAsia" w:ascii="仿宋_GB2312" w:hAnsi="Arial" w:eastAsia="仿宋_GB2312" w:cs="Arial"/>
          <w:color w:val="333333"/>
          <w:sz w:val="32"/>
          <w:szCs w:val="32"/>
        </w:rPr>
        <w:t>我中心无政府性债务。资产全部登记到资产管理系统(除个别单位未将公务用车从资产系统划转除外)。“三公经费”严格按照县财政年初下达的控制数使用，并按照公务车管理、公务接待等国家和省市有关规定从严管理、从严控制、规范报账。2021年“三公”经费总额为483.48万元，其中：因公出国(境)费为0元，公务用车运行维护费为483万元，公务接待费为0.48万元。相关情况，按时在政府门户网站予以公开。</w:t>
      </w:r>
    </w:p>
    <w:p>
      <w:pPr>
        <w:pStyle w:val="12"/>
        <w:adjustRightInd w:val="0"/>
        <w:snapToGrid w:val="0"/>
        <w:spacing w:before="0" w:beforeAutospacing="0" w:after="0" w:afterAutospacing="0" w:line="560" w:lineRule="exact"/>
        <w:ind w:firstLine="570"/>
        <w:textAlignment w:val="baseline"/>
        <w:rPr>
          <w:rFonts w:ascii="仿宋_GB2312" w:eastAsia="仿宋_GB2312"/>
          <w:sz w:val="32"/>
          <w:szCs w:val="32"/>
        </w:rPr>
      </w:pPr>
      <w:r>
        <w:rPr>
          <w:rFonts w:hint="eastAsia" w:ascii="楷体_GB2312" w:hAnsi="Arial" w:eastAsia="楷体_GB2312" w:cs="Arial"/>
          <w:b/>
          <w:color w:val="333333"/>
          <w:sz w:val="32"/>
          <w:szCs w:val="32"/>
        </w:rPr>
        <w:t>(四)综合绩效情况。</w:t>
      </w:r>
      <w:r>
        <w:rPr>
          <w:rFonts w:hint="eastAsia" w:ascii="仿宋_GB2312" w:eastAsia="仿宋_GB2312" w:cs="Times New Roman"/>
          <w:kern w:val="2"/>
          <w:sz w:val="32"/>
          <w:szCs w:val="32"/>
        </w:rPr>
        <w:t>聚焦制约机关事务高质量发展的难点难题，合力攻坚，圆满完成了年度工作目标。</w:t>
      </w:r>
      <w:r>
        <w:rPr>
          <w:rFonts w:hint="eastAsia" w:ascii="仿宋_GB2312" w:eastAsia="仿宋_GB2312" w:cs="Times New Roman"/>
          <w:b/>
          <w:kern w:val="2"/>
          <w:sz w:val="32"/>
          <w:szCs w:val="32"/>
        </w:rPr>
        <w:t>一是</w:t>
      </w:r>
      <w:r>
        <w:rPr>
          <w:rFonts w:hint="eastAsia" w:ascii="仿宋_GB2312" w:eastAsia="仿宋_GB2312" w:cs="Times New Roman"/>
          <w:kern w:val="2"/>
          <w:sz w:val="32"/>
          <w:szCs w:val="32"/>
        </w:rPr>
        <w:t>筑牢疫情常态化防控防线，党政中心集中办公区安全有序运行。</w:t>
      </w:r>
      <w:r>
        <w:rPr>
          <w:rFonts w:hint="eastAsia" w:ascii="仿宋_GB2312" w:eastAsia="仿宋_GB2312" w:cs="Times New Roman"/>
          <w:b/>
          <w:kern w:val="2"/>
          <w:sz w:val="32"/>
          <w:szCs w:val="32"/>
        </w:rPr>
        <w:t>二是</w:t>
      </w:r>
      <w:r>
        <w:rPr>
          <w:rFonts w:hint="eastAsia" w:ascii="仿宋_GB2312" w:eastAsia="仿宋_GB2312" w:cs="Times New Roman"/>
          <w:kern w:val="2"/>
          <w:sz w:val="32"/>
          <w:szCs w:val="32"/>
        </w:rPr>
        <w:t>圆满完成国管局第一批公务用车管理专项领域示范点建设任务。</w:t>
      </w:r>
      <w:r>
        <w:rPr>
          <w:rFonts w:hint="eastAsia" w:ascii="仿宋_GB2312" w:eastAsia="仿宋_GB2312" w:cs="Times New Roman"/>
          <w:b/>
          <w:kern w:val="2"/>
          <w:sz w:val="32"/>
          <w:szCs w:val="32"/>
        </w:rPr>
        <w:t>三是</w:t>
      </w:r>
      <w:r>
        <w:rPr>
          <w:rFonts w:hint="eastAsia" w:ascii="仿宋_GB2312" w:eastAsia="仿宋_GB2312" w:cs="Times New Roman"/>
          <w:kern w:val="2"/>
          <w:sz w:val="32"/>
          <w:szCs w:val="32"/>
        </w:rPr>
        <w:t>加大公务用车、办公用房日常监管力度，确保合规使用。</w:t>
      </w:r>
      <w:r>
        <w:rPr>
          <w:rFonts w:hint="eastAsia" w:ascii="仿宋_GB2312" w:eastAsia="仿宋_GB2312" w:cs="Times New Roman"/>
          <w:b/>
          <w:kern w:val="2"/>
          <w:sz w:val="32"/>
          <w:szCs w:val="32"/>
        </w:rPr>
        <w:t>四是</w:t>
      </w:r>
      <w:r>
        <w:rPr>
          <w:rFonts w:hint="eastAsia" w:ascii="仿宋_GB2312" w:eastAsia="仿宋_GB2312" w:cs="Times New Roman"/>
          <w:kern w:val="2"/>
          <w:sz w:val="32"/>
          <w:szCs w:val="32"/>
        </w:rPr>
        <w:t>突出示范引领，创建节约型机关15家，24家被国管局、中直管理局、国家发改委、财政部授予国家级“节约型机关”。</w:t>
      </w:r>
      <w:r>
        <w:rPr>
          <w:rFonts w:hint="eastAsia" w:ascii="仿宋_GB2312" w:eastAsia="仿宋_GB2312" w:cs="Times New Roman"/>
          <w:b/>
          <w:kern w:val="2"/>
          <w:sz w:val="32"/>
          <w:szCs w:val="32"/>
        </w:rPr>
        <w:t>五是</w:t>
      </w:r>
      <w:r>
        <w:rPr>
          <w:rFonts w:hint="eastAsia" w:ascii="仿宋_GB2312" w:eastAsia="仿宋_GB2312"/>
          <w:sz w:val="32"/>
          <w:szCs w:val="32"/>
        </w:rPr>
        <w:t>围绕“服务理念现代化、服务标准精细化、服务能力专业化”，全力做好公务出行保障、物业服务、餐饮服务、会务服务等。2021年，</w:t>
      </w:r>
      <w:r>
        <w:rPr>
          <w:rFonts w:hint="eastAsia" w:ascii="仿宋_GB2312" w:eastAsia="仿宋_GB2312" w:cs="Times New Roman"/>
          <w:kern w:val="2"/>
          <w:sz w:val="32"/>
          <w:szCs w:val="32"/>
        </w:rPr>
        <w:t>被市委、市政府给予“巴中市脱贫攻坚奖励事业单位记功”奖励，被授予“国家级节约型机关”、“四川省‘十三五’节能工作先进集体”、“市级公共机构节水型单位”等荣誉称号。</w:t>
      </w:r>
    </w:p>
    <w:p>
      <w:pPr>
        <w:pStyle w:val="12"/>
        <w:adjustRightInd w:val="0"/>
        <w:snapToGrid w:val="0"/>
        <w:spacing w:before="0" w:beforeAutospacing="0" w:after="0" w:afterAutospacing="0" w:line="560" w:lineRule="exact"/>
        <w:ind w:firstLine="570"/>
        <w:textAlignment w:val="baseline"/>
        <w:rPr>
          <w:rFonts w:ascii="仿宋_GB2312" w:eastAsia="仿宋_GB2312"/>
          <w:sz w:val="32"/>
          <w:szCs w:val="32"/>
        </w:rPr>
      </w:pPr>
      <w:r>
        <w:rPr>
          <w:rFonts w:hint="eastAsia" w:ascii="黑体" w:hAnsi="Arial" w:eastAsia="黑体" w:cs="Arial"/>
          <w:b/>
          <w:color w:val="333333"/>
          <w:sz w:val="32"/>
          <w:szCs w:val="32"/>
        </w:rPr>
        <w:t>四、评价结论及建议</w:t>
      </w:r>
    </w:p>
    <w:p>
      <w:pPr>
        <w:pStyle w:val="12"/>
        <w:adjustRightInd w:val="0"/>
        <w:snapToGrid w:val="0"/>
        <w:spacing w:before="0" w:beforeAutospacing="0" w:after="0" w:afterAutospacing="0" w:line="560" w:lineRule="exact"/>
        <w:ind w:firstLine="645"/>
        <w:textAlignment w:val="baseline"/>
        <w:rPr>
          <w:rFonts w:ascii="仿宋_GB2312" w:hAnsi="Arial" w:eastAsia="仿宋_GB2312" w:cs="Arial"/>
          <w:color w:val="333333"/>
          <w:sz w:val="32"/>
          <w:szCs w:val="32"/>
        </w:rPr>
      </w:pPr>
      <w:r>
        <w:rPr>
          <w:rFonts w:hint="eastAsia" w:ascii="楷体_GB2312" w:hAnsi="Arial" w:eastAsia="楷体_GB2312" w:cs="Arial"/>
          <w:b/>
          <w:color w:val="333333"/>
          <w:sz w:val="32"/>
          <w:szCs w:val="32"/>
        </w:rPr>
        <w:t>(一)评价结论。</w:t>
      </w:r>
      <w:r>
        <w:rPr>
          <w:rFonts w:hint="eastAsia" w:ascii="仿宋_GB2312" w:hAnsi="Arial" w:eastAsia="仿宋_GB2312" w:cs="Arial"/>
          <w:color w:val="333333"/>
          <w:sz w:val="32"/>
          <w:szCs w:val="32"/>
        </w:rPr>
        <w:t>2021年，我中心圆满完成了县委、县政府及上级主管部门下达的各项工作。同时，通过加强预算收支管理，优化完善内部管理制度，部门整体支出管理情况得到提升，“三公”经费总体控制较好。</w:t>
      </w:r>
    </w:p>
    <w:p>
      <w:pPr>
        <w:pStyle w:val="12"/>
        <w:adjustRightInd w:val="0"/>
        <w:snapToGrid w:val="0"/>
        <w:spacing w:before="0" w:beforeAutospacing="0" w:after="0" w:afterAutospacing="0" w:line="560" w:lineRule="exact"/>
        <w:ind w:firstLine="645"/>
        <w:textAlignment w:val="baseline"/>
        <w:rPr>
          <w:rFonts w:ascii="黑体" w:hAnsi="Arial" w:eastAsia="黑体" w:cs="Arial"/>
          <w:b/>
          <w:color w:val="333333"/>
          <w:sz w:val="32"/>
          <w:szCs w:val="32"/>
        </w:rPr>
      </w:pPr>
      <w:r>
        <w:rPr>
          <w:rFonts w:hint="eastAsia" w:ascii="仿宋_GB2312" w:hAnsi="Arial" w:eastAsia="仿宋_GB2312" w:cs="Arial"/>
          <w:color w:val="333333"/>
          <w:sz w:val="32"/>
          <w:szCs w:val="32"/>
        </w:rPr>
        <w:t>自评得分90.5分，主要是项目支出绩效管理扣分。</w:t>
      </w:r>
    </w:p>
    <w:p>
      <w:pPr>
        <w:pStyle w:val="12"/>
        <w:adjustRightInd w:val="0"/>
        <w:snapToGrid w:val="0"/>
        <w:spacing w:before="0" w:beforeAutospacing="0" w:after="0" w:afterAutospacing="0" w:line="560" w:lineRule="exact"/>
        <w:ind w:firstLine="570"/>
        <w:textAlignment w:val="baseline"/>
        <w:rPr>
          <w:rFonts w:hint="eastAsia" w:ascii="仿宋_GB2312" w:hAnsi="Arial" w:eastAsia="仿宋_GB2312" w:cs="Arial"/>
          <w:color w:val="333333"/>
          <w:sz w:val="32"/>
          <w:szCs w:val="32"/>
        </w:rPr>
      </w:pPr>
      <w:r>
        <w:rPr>
          <w:rFonts w:hint="eastAsia" w:ascii="楷体_GB2312" w:hAnsi="Arial" w:eastAsia="楷体_GB2312" w:cs="Arial"/>
          <w:b/>
          <w:color w:val="333333"/>
          <w:sz w:val="32"/>
          <w:szCs w:val="32"/>
        </w:rPr>
        <w:t>(二)存在问题。</w:t>
      </w:r>
      <w:r>
        <w:rPr>
          <w:rFonts w:hint="eastAsia" w:ascii="仿宋_GB2312" w:hAnsi="Arial" w:eastAsia="仿宋_GB2312" w:cs="Arial"/>
          <w:color w:val="333333"/>
          <w:sz w:val="32"/>
          <w:szCs w:val="32"/>
        </w:rPr>
        <w:t>预算资金拨付不及时，存在支付项目资金滞后的现象。</w:t>
      </w:r>
    </w:p>
    <w:p>
      <w:pPr>
        <w:pStyle w:val="12"/>
        <w:adjustRightInd w:val="0"/>
        <w:snapToGrid w:val="0"/>
        <w:spacing w:before="0" w:beforeAutospacing="0" w:after="0" w:afterAutospacing="0" w:line="560" w:lineRule="exact"/>
        <w:ind w:firstLine="570"/>
        <w:textAlignment w:val="baseline"/>
        <w:rPr>
          <w:rFonts w:ascii="仿宋_GB2312" w:hAnsi="Arial" w:eastAsia="仿宋_GB2312" w:cs="Arial"/>
          <w:color w:val="333333"/>
          <w:sz w:val="32"/>
          <w:szCs w:val="32"/>
        </w:rPr>
      </w:pPr>
      <w:r>
        <w:rPr>
          <w:rFonts w:hint="eastAsia" w:ascii="楷体_GB2312" w:hAnsi="Arial" w:eastAsia="楷体_GB2312" w:cs="Arial"/>
          <w:b/>
          <w:color w:val="333333"/>
          <w:sz w:val="32"/>
          <w:szCs w:val="32"/>
        </w:rPr>
        <w:t>(三)改进建议。</w:t>
      </w:r>
      <w:r>
        <w:rPr>
          <w:rFonts w:hint="eastAsia" w:ascii="仿宋_GB2312" w:hAnsi="Arial" w:eastAsia="仿宋_GB2312" w:cs="Arial"/>
          <w:color w:val="333333"/>
          <w:sz w:val="32"/>
          <w:szCs w:val="32"/>
        </w:rPr>
        <w:t>注意时间节点，有序推进各项工作。</w:t>
      </w:r>
    </w:p>
    <w:p>
      <w:pPr>
        <w:widowControl/>
        <w:spacing w:line="560" w:lineRule="atLeast"/>
        <w:jc w:val="left"/>
        <w:rPr>
          <w:rFonts w:hint="eastAsia" w:ascii="黑体" w:hAnsi="黑体" w:eastAsia="黑体" w:cs="宋体"/>
          <w:color w:val="333333"/>
          <w:sz w:val="32"/>
          <w:szCs w:val="32"/>
        </w:rPr>
      </w:pPr>
      <w:bookmarkStart w:id="60" w:name="_Toc15396618"/>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hint="eastAsia" w:ascii="黑体" w:hAnsi="黑体" w:eastAsia="黑体" w:cs="宋体"/>
          <w:color w:val="333333"/>
          <w:sz w:val="32"/>
          <w:szCs w:val="32"/>
        </w:rPr>
      </w:pPr>
    </w:p>
    <w:p>
      <w:pPr>
        <w:widowControl/>
        <w:spacing w:line="560" w:lineRule="atLeast"/>
        <w:jc w:val="left"/>
        <w:rPr>
          <w:rFonts w:ascii="宋体" w:hAnsi="宋体" w:cs="宋体"/>
          <w:color w:val="333333"/>
          <w:kern w:val="0"/>
          <w:sz w:val="24"/>
        </w:rPr>
      </w:pPr>
      <w:r>
        <w:rPr>
          <w:rFonts w:hint="eastAsia" w:ascii="黑体" w:hAnsi="黑体" w:eastAsia="黑体" w:cs="宋体"/>
          <w:color w:val="333333"/>
          <w:sz w:val="32"/>
          <w:szCs w:val="32"/>
        </w:rPr>
        <w:t>附件2</w:t>
      </w:r>
    </w:p>
    <w:p>
      <w:pPr>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 xml:space="preserve"> </w:t>
      </w:r>
    </w:p>
    <w:p>
      <w:pPr>
        <w:spacing w:line="560" w:lineRule="atLeast"/>
        <w:jc w:val="center"/>
        <w:rPr>
          <w:rFonts w:hint="eastAsia" w:ascii="黑体" w:hAnsi="黑体" w:eastAsia="黑体" w:cs="方正小标宋简体"/>
          <w:color w:val="333333"/>
          <w:sz w:val="44"/>
          <w:szCs w:val="44"/>
        </w:rPr>
      </w:pPr>
      <w:r>
        <w:rPr>
          <w:rFonts w:hint="eastAsia" w:ascii="黑体" w:hAnsi="黑体" w:eastAsia="黑体" w:cs="方正小标宋简体"/>
          <w:color w:val="333333"/>
          <w:sz w:val="44"/>
          <w:szCs w:val="44"/>
        </w:rPr>
        <w:t>2021年广场黄桷树及后山管护项目</w:t>
      </w:r>
    </w:p>
    <w:p>
      <w:pPr>
        <w:spacing w:line="560" w:lineRule="atLeast"/>
        <w:jc w:val="center"/>
        <w:rPr>
          <w:rFonts w:ascii="宋体" w:hAnsi="宋体" w:cs="宋体"/>
          <w:color w:val="333333"/>
          <w:kern w:val="0"/>
          <w:sz w:val="24"/>
        </w:rPr>
      </w:pPr>
      <w:r>
        <w:rPr>
          <w:rFonts w:hint="eastAsia" w:ascii="黑体" w:hAnsi="黑体" w:eastAsia="黑体" w:cs="方正小标宋简体"/>
          <w:color w:val="333333"/>
          <w:sz w:val="44"/>
          <w:szCs w:val="44"/>
        </w:rPr>
        <w:t>项目支出绩效评价报告</w:t>
      </w:r>
    </w:p>
    <w:p>
      <w:pPr>
        <w:spacing w:line="560" w:lineRule="atLeast"/>
        <w:jc w:val="left"/>
        <w:rPr>
          <w:rFonts w:ascii="宋体" w:hAnsi="宋体" w:cs="宋体"/>
          <w:color w:val="333333"/>
          <w:kern w:val="0"/>
          <w:sz w:val="24"/>
        </w:rPr>
      </w:pPr>
      <w:r>
        <w:rPr>
          <w:rFonts w:hint="eastAsia" w:ascii="宋体" w:cs="宋体"/>
          <w:color w:val="333333"/>
          <w:sz w:val="32"/>
          <w:szCs w:val="32"/>
        </w:rPr>
        <w:t xml:space="preserve"> </w:t>
      </w:r>
    </w:p>
    <w:p>
      <w:pPr>
        <w:adjustRightInd w:val="0"/>
        <w:spacing w:line="560" w:lineRule="atLeast"/>
        <w:ind w:firstLine="720"/>
        <w:jc w:val="left"/>
        <w:rPr>
          <w:rFonts w:ascii="宋体" w:hAnsi="宋体" w:cs="宋体"/>
          <w:color w:val="333333"/>
          <w:kern w:val="0"/>
          <w:sz w:val="24"/>
        </w:rPr>
      </w:pPr>
      <w:r>
        <w:rPr>
          <w:rFonts w:hint="eastAsia" w:ascii="黑体" w:hAnsi="黑体" w:eastAsia="黑体" w:cs="宋体"/>
          <w:color w:val="333333"/>
          <w:sz w:val="32"/>
          <w:szCs w:val="32"/>
        </w:rPr>
        <w:t>一、项目概况</w:t>
      </w:r>
    </w:p>
    <w:p>
      <w:pPr>
        <w:widowControl/>
        <w:adjustRightInd w:val="0"/>
        <w:spacing w:line="560" w:lineRule="atLeast"/>
        <w:ind w:firstLine="643" w:firstLineChars="200"/>
        <w:contextualSpacing/>
        <w:jc w:val="left"/>
        <w:rPr>
          <w:rFonts w:ascii="宋体" w:hAnsi="宋体" w:cs="宋体"/>
          <w:color w:val="333333"/>
          <w:kern w:val="0"/>
          <w:sz w:val="24"/>
        </w:rPr>
      </w:pPr>
      <w:r>
        <w:rPr>
          <w:rFonts w:hint="eastAsia" w:ascii="楷体_GB2312" w:hAnsi="宋体" w:eastAsia="楷体_GB2312" w:cs="宋体"/>
          <w:b/>
          <w:bCs/>
          <w:color w:val="000000"/>
          <w:kern w:val="0"/>
          <w:sz w:val="32"/>
          <w:szCs w:val="32"/>
          <w:shd w:val="clear" w:color="auto" w:fill="FFFFFF"/>
        </w:rPr>
        <w:t>（一）项目基本情况。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1．说明项目主管部门（单位）在该项目管理中的职能。</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南江县机关事务服务中心为光雾山广场日常使用维护的管理部门</w:t>
      </w:r>
    </w:p>
    <w:p>
      <w:pPr>
        <w:adjustRightInd w:val="0"/>
        <w:spacing w:line="560" w:lineRule="atLeast"/>
        <w:ind w:firstLine="720"/>
        <w:jc w:val="left"/>
        <w:rPr>
          <w:rFonts w:hint="eastAsia" w:ascii="宋体" w:hAnsi="宋体" w:cs="宋体"/>
          <w:color w:val="333333"/>
          <w:kern w:val="0"/>
          <w:sz w:val="24"/>
        </w:rPr>
      </w:pPr>
      <w:r>
        <w:rPr>
          <w:rFonts w:hint="eastAsia" w:ascii="仿宋_GB2312" w:hAnsi="宋体" w:eastAsia="仿宋_GB2312" w:cs="宋体"/>
          <w:color w:val="333333"/>
          <w:sz w:val="32"/>
          <w:szCs w:val="32"/>
        </w:rPr>
        <w:t>职能：确保广场黄桷树及后山绿化日常管护。</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2.项目立项、资金申报的依据。</w:t>
      </w:r>
    </w:p>
    <w:p>
      <w:pPr>
        <w:adjustRightInd w:val="0"/>
        <w:spacing w:line="560" w:lineRule="atLeast"/>
        <w:jc w:val="left"/>
        <w:rPr>
          <w:rFonts w:ascii="宋体" w:hAnsi="宋体" w:cs="宋体"/>
          <w:color w:val="333333"/>
          <w:kern w:val="0"/>
          <w:sz w:val="24"/>
        </w:rPr>
      </w:pPr>
      <w:r>
        <w:rPr>
          <w:rFonts w:hint="eastAsia" w:ascii="仿宋_GB2312" w:hAnsi="宋体" w:eastAsia="仿宋_GB2312" w:cs="宋体"/>
          <w:color w:val="333333"/>
          <w:sz w:val="32"/>
          <w:szCs w:val="32"/>
        </w:rPr>
        <w:t xml:space="preserve">    广场黄桷树及后山管护费用为南江县机关事务服务中心常规。</w:t>
      </w:r>
    </w:p>
    <w:p>
      <w:pPr>
        <w:adjustRightInd w:val="0"/>
        <w:spacing w:line="560" w:lineRule="atLeast"/>
        <w:ind w:firstLine="643" w:firstLineChars="200"/>
        <w:jc w:val="left"/>
        <w:rPr>
          <w:rFonts w:ascii="宋体" w:hAnsi="宋体" w:cs="宋体"/>
          <w:color w:val="333333"/>
          <w:kern w:val="0"/>
          <w:sz w:val="24"/>
        </w:rPr>
      </w:pPr>
      <w:r>
        <w:rPr>
          <w:rFonts w:hint="eastAsia" w:ascii="仿宋_GB2312" w:hAnsi="宋体" w:eastAsia="仿宋_GB2312" w:cs="宋体"/>
          <w:b/>
          <w:bCs/>
          <w:color w:val="333333"/>
          <w:sz w:val="32"/>
          <w:szCs w:val="32"/>
        </w:rPr>
        <w:t>3.资金管理办法制定情况，资金支持具体项目的条件、范围与支持方式概况。</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项目资金使用范围：主要用于广场黄桷树及后山绿化日常管护，确保绿化存活。</w:t>
      </w:r>
      <w:r>
        <w:rPr>
          <w:rFonts w:hint="eastAsia" w:ascii="仿宋_GB2312" w:hAnsi="宋体" w:eastAsia="仿宋_GB2312" w:cs="宋体"/>
          <w:color w:val="000000"/>
          <w:sz w:val="32"/>
          <w:szCs w:val="32"/>
        </w:rPr>
        <w:t>项目资金支持方式：财政拨款。</w:t>
      </w:r>
    </w:p>
    <w:p>
      <w:pPr>
        <w:adjustRightInd w:val="0"/>
        <w:spacing w:line="560" w:lineRule="atLeast"/>
        <w:ind w:left="720"/>
        <w:jc w:val="left"/>
        <w:rPr>
          <w:rFonts w:ascii="宋体" w:hAnsi="宋体" w:cs="宋体"/>
          <w:color w:val="333333"/>
          <w:kern w:val="0"/>
          <w:sz w:val="24"/>
        </w:rPr>
      </w:pPr>
      <w:r>
        <w:rPr>
          <w:rFonts w:hint="eastAsia" w:ascii="仿宋_GB2312" w:hAnsi="宋体" w:eastAsia="仿宋_GB2312" w:cs="宋体"/>
          <w:b/>
          <w:bCs/>
          <w:color w:val="333333"/>
          <w:sz w:val="32"/>
          <w:szCs w:val="32"/>
        </w:rPr>
        <w:t>4.资金分配的原则及考虑因素。</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科学合理安排资金预算支出，实现资金落到实处，强化执行过程监督，日常维护维修确保在13.5万元内。</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cs="宋体"/>
          <w:b/>
          <w:color w:val="333333"/>
          <w:sz w:val="32"/>
          <w:szCs w:val="32"/>
        </w:rPr>
        <w:t>（二）项目绩效目标。</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1．项目主要内容。</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做好2021年度绿化日常管护工作。</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2．项目应实现的具体绩效目标，包括目标的量化、细化情况以及项目实施进度计划等。</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项目工作为全年度工作。做好</w:t>
      </w:r>
      <w:r>
        <w:rPr>
          <w:rFonts w:hint="eastAsia" w:ascii="仿宋" w:hAnsi="仿宋" w:eastAsia="仿宋" w:cs="宋体"/>
          <w:color w:val="333333"/>
          <w:sz w:val="32"/>
          <w:szCs w:val="32"/>
        </w:rPr>
        <w:t>南江县机关事务服务中心</w:t>
      </w:r>
      <w:r>
        <w:rPr>
          <w:rFonts w:hint="eastAsia" w:ascii="仿宋_GB2312" w:hAnsi="宋体" w:eastAsia="仿宋_GB2312" w:cs="宋体"/>
          <w:color w:val="333333"/>
          <w:sz w:val="32"/>
          <w:szCs w:val="32"/>
        </w:rPr>
        <w:t>管理的光雾山广场黄桷树及后山绿化管护。</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3．分析评价申报内容是否与实际相符，申报目标是否合理可行。</w:t>
      </w:r>
    </w:p>
    <w:p>
      <w:pPr>
        <w:adjustRightInd w:val="0"/>
        <w:spacing w:line="560" w:lineRule="atLeast"/>
        <w:ind w:left="720"/>
        <w:jc w:val="left"/>
        <w:rPr>
          <w:rFonts w:ascii="宋体" w:hAnsi="宋体" w:cs="宋体"/>
          <w:color w:val="333333"/>
          <w:kern w:val="0"/>
          <w:sz w:val="24"/>
        </w:rPr>
      </w:pPr>
      <w:r>
        <w:rPr>
          <w:rFonts w:hint="eastAsia" w:ascii="仿宋_GB2312" w:hAnsi="宋体" w:eastAsia="仿宋_GB2312" w:cs="宋体"/>
          <w:color w:val="333333"/>
          <w:sz w:val="32"/>
          <w:szCs w:val="32"/>
        </w:rPr>
        <w:t>申报内容与实际相符，申报目标合理可行。</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（三）项目自评步骤及方法。</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说明项目绩效自评采用的组织实施步骤及方法。</w:t>
      </w:r>
    </w:p>
    <w:p>
      <w:pPr>
        <w:adjustRightInd w:val="0"/>
        <w:spacing w:line="560" w:lineRule="atLeast"/>
        <w:ind w:firstLine="720"/>
        <w:jc w:val="left"/>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首先由机关事务服务中心各机构业务经办人员、财务人员共同草拟自评报告，报送分管领导审阅后再报送。</w:t>
      </w:r>
    </w:p>
    <w:p>
      <w:pPr>
        <w:adjustRightInd w:val="0"/>
        <w:spacing w:line="560" w:lineRule="atLeast"/>
        <w:ind w:firstLine="720"/>
        <w:jc w:val="left"/>
        <w:rPr>
          <w:rFonts w:ascii="宋体" w:hAnsi="宋体" w:cs="宋体"/>
          <w:color w:val="333333"/>
          <w:kern w:val="0"/>
          <w:sz w:val="24"/>
        </w:rPr>
      </w:pPr>
      <w:r>
        <w:rPr>
          <w:rFonts w:hint="eastAsia" w:ascii="黑体" w:hAnsi="黑体" w:eastAsia="黑体" w:cs="宋体"/>
          <w:color w:val="333333"/>
          <w:sz w:val="32"/>
          <w:szCs w:val="32"/>
        </w:rPr>
        <w:t>二、项目资金申报及使用情况</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（一）项目资金申报及批复情况。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此项目为经常性项目，年初根据上年资金使用情况，提出项目资金预算申请，县财政批复后予以执行。</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（二）资金计划、到位及使用情况。</w:t>
      </w:r>
    </w:p>
    <w:p>
      <w:pPr>
        <w:adjustRightInd w:val="0"/>
        <w:spacing w:line="560" w:lineRule="atLeast"/>
        <w:ind w:left="420" w:leftChars="200" w:firstLine="321" w:firstLineChars="100"/>
        <w:jc w:val="left"/>
        <w:rPr>
          <w:rFonts w:ascii="宋体" w:hAnsi="宋体" w:cs="宋体"/>
          <w:color w:val="333333"/>
          <w:kern w:val="0"/>
          <w:sz w:val="24"/>
        </w:rPr>
      </w:pPr>
      <w:r>
        <w:rPr>
          <w:rFonts w:hint="eastAsia" w:ascii="仿宋_GB2312" w:hAnsi="宋体" w:eastAsia="仿宋_GB2312" w:cs="宋体"/>
          <w:b/>
          <w:bCs/>
          <w:color w:val="333333"/>
          <w:sz w:val="32"/>
          <w:szCs w:val="32"/>
        </w:rPr>
        <w:t>1.资金计划</w:t>
      </w:r>
      <w:r>
        <w:rPr>
          <w:rFonts w:hint="eastAsia" w:ascii="楷体_GB2312" w:hAnsi="宋体" w:eastAsia="楷体_GB2312" w:cs="宋体"/>
          <w:color w:val="333333"/>
          <w:sz w:val="32"/>
          <w:szCs w:val="32"/>
        </w:rPr>
        <w:t>。</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广场黄桷树及后山管护项目县级下达资金13.5万元。</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2.资金到位</w:t>
      </w:r>
      <w:r>
        <w:rPr>
          <w:rFonts w:hint="eastAsia" w:ascii="楷体_GB2312" w:hAnsi="宋体" w:eastAsia="楷体_GB2312" w:cs="宋体"/>
          <w:color w:val="333333"/>
          <w:sz w:val="32"/>
          <w:szCs w:val="32"/>
        </w:rPr>
        <w:t>。</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全部资金按时到位。</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b/>
          <w:bCs/>
          <w:color w:val="333333"/>
          <w:sz w:val="32"/>
          <w:szCs w:val="32"/>
        </w:rPr>
        <w:t>3.资金使用。</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2021年度机关事务服务中心广场黄桷树及后山管护费用共计13.5万元。日常管护合规、合理，工作推进有机构、有计划，资金使用规范。该项工作常态化运行，群众反响良好，取得了较好的社会效益。今后进一步提升服务效率。</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（三）项目财务管理情况。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广场黄桷树及后山管护项目有健全的财务制度，资金拨付严格按照财务管理制度进行管理。保证专款专用，资金发放复查由财务人员按照财务制度进行资金的审核、支付和核算，所有支出均以转账方式进行，在具体支付时，具备了资金发票、管护合同等相关材料，手续是完善的，不存在虚假会计凭证的情况，会计严格执行财务管理制度，财务处理及时，核算规范。</w:t>
      </w:r>
    </w:p>
    <w:p>
      <w:pPr>
        <w:adjustRightInd w:val="0"/>
        <w:spacing w:line="560" w:lineRule="atLeast"/>
        <w:ind w:firstLine="720"/>
        <w:jc w:val="left"/>
        <w:rPr>
          <w:rFonts w:ascii="宋体" w:hAnsi="宋体" w:cs="宋体"/>
          <w:color w:val="333333"/>
          <w:kern w:val="0"/>
          <w:sz w:val="24"/>
        </w:rPr>
      </w:pPr>
      <w:r>
        <w:rPr>
          <w:rFonts w:hint="eastAsia" w:ascii="黑体" w:hAnsi="黑体" w:eastAsia="黑体" w:cs="宋体"/>
          <w:color w:val="333333"/>
          <w:sz w:val="32"/>
          <w:szCs w:val="32"/>
        </w:rPr>
        <w:t>三、项目实施及管理情况</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（一）项目组织架构及实施流程。</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1、南江县机关事务服务中心根据项目申报和经费下达情况进行项目预算方案编制。</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2、机关事务服务中心经办人员做好年度日常管护、监督及档案整理工作。</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（二）项目管理情况。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此项目为机关事务服务中心常规性项目，主要为确保广场黄桷树及后山绿化日常管护。</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（三）项目监管情况。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南江县机关事务中心组织专人对日常管护进行严格监管。</w:t>
      </w:r>
    </w:p>
    <w:p>
      <w:pPr>
        <w:adjustRightInd w:val="0"/>
        <w:spacing w:line="560" w:lineRule="atLeast"/>
        <w:ind w:firstLine="720"/>
        <w:jc w:val="left"/>
        <w:rPr>
          <w:rFonts w:ascii="宋体" w:hAnsi="宋体" w:cs="宋体"/>
          <w:color w:val="333333"/>
          <w:kern w:val="0"/>
          <w:sz w:val="24"/>
        </w:rPr>
      </w:pPr>
      <w:r>
        <w:rPr>
          <w:rFonts w:hint="eastAsia" w:ascii="黑体" w:hAnsi="黑体" w:eastAsia="黑体" w:cs="宋体"/>
          <w:color w:val="333333"/>
          <w:sz w:val="32"/>
          <w:szCs w:val="32"/>
        </w:rPr>
        <w:t>四、项目绩效情况</w:t>
      </w:r>
      <w:r>
        <w:rPr>
          <w:rFonts w:hint="eastAsia" w:ascii="仿宋_GB2312" w:hAnsi="宋体" w:eastAsia="仿宋_GB2312" w:cs="宋体"/>
          <w:color w:val="333333"/>
          <w:sz w:val="32"/>
          <w:szCs w:val="32"/>
        </w:rPr>
        <w:t xml:space="preserve"> </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（一）项目完成情况。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年度内完成日常管护，确保绿化正常存活。</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（二）项目效益情况。</w:t>
      </w:r>
    </w:p>
    <w:p>
      <w:pPr>
        <w:adjustRightInd w:val="0"/>
        <w:spacing w:line="560" w:lineRule="atLeast"/>
        <w:ind w:firstLine="720"/>
        <w:jc w:val="left"/>
        <w:rPr>
          <w:rFonts w:ascii="宋体" w:hAnsi="宋体" w:cs="宋体"/>
          <w:color w:val="333333"/>
          <w:kern w:val="0"/>
          <w:sz w:val="24"/>
        </w:rPr>
      </w:pPr>
      <w:r>
        <w:rPr>
          <w:rFonts w:hint="eastAsia" w:ascii="仿宋_GB2312" w:hAnsi="宋体" w:eastAsia="仿宋_GB2312" w:cs="宋体"/>
          <w:color w:val="333333"/>
          <w:sz w:val="32"/>
          <w:szCs w:val="32"/>
        </w:rPr>
        <w:t>日常管护质量良好，确保南江县广场黄桷树及后山绿化正常存活。</w:t>
      </w:r>
    </w:p>
    <w:p>
      <w:pPr>
        <w:adjustRightInd w:val="0"/>
        <w:spacing w:line="560" w:lineRule="atLeast"/>
        <w:ind w:firstLine="720"/>
        <w:jc w:val="left"/>
        <w:rPr>
          <w:rFonts w:ascii="宋体" w:hAnsi="宋体" w:cs="宋体"/>
          <w:color w:val="333333"/>
          <w:kern w:val="0"/>
          <w:sz w:val="24"/>
        </w:rPr>
      </w:pPr>
      <w:r>
        <w:rPr>
          <w:rFonts w:hint="eastAsia" w:ascii="黑体" w:hAnsi="黑体" w:eastAsia="黑体" w:cs="宋体"/>
          <w:color w:val="333333"/>
          <w:sz w:val="32"/>
          <w:szCs w:val="32"/>
        </w:rPr>
        <w:t>五、评价结论及建议</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（一）评价结论。</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项目决策符合国家政策方针，管理符合相关制度，严格完成目标任务，该项目的实施达到了预期的社会效益，有力的保障了机关事务中心工作的长期有效运行，受益群众满意度较好。</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（二）存在的问题。</w:t>
      </w:r>
    </w:p>
    <w:p>
      <w:pPr>
        <w:adjustRightInd w:val="0"/>
        <w:spacing w:line="560" w:lineRule="atLeast"/>
        <w:ind w:firstLine="640" w:firstLineChars="200"/>
        <w:jc w:val="left"/>
        <w:rPr>
          <w:rFonts w:ascii="宋体" w:hAnsi="宋体" w:cs="宋体"/>
          <w:color w:val="333333"/>
          <w:kern w:val="0"/>
          <w:sz w:val="24"/>
        </w:rPr>
      </w:pPr>
      <w:r>
        <w:rPr>
          <w:rFonts w:hint="eastAsia" w:ascii="仿宋_GB2312" w:hAnsi="宋体" w:eastAsia="仿宋_GB2312" w:cs="宋体"/>
          <w:color w:val="333333"/>
          <w:sz w:val="32"/>
          <w:szCs w:val="32"/>
        </w:rPr>
        <w:t xml:space="preserve">结合南江县机关事务服务中心对项目管理的绩效分析，梳理在项目监管实施过程中存在的问题，在项目实施的个别内容设置满意度调查方面应进一步了解公众需求。从服务对象层面了解、检查、发现项目实施监管工作中的不足之处，不断加以完善。 </w:t>
      </w:r>
    </w:p>
    <w:p>
      <w:pPr>
        <w:adjustRightInd w:val="0"/>
        <w:spacing w:line="560" w:lineRule="atLeast"/>
        <w:ind w:firstLine="720"/>
        <w:jc w:val="left"/>
        <w:rPr>
          <w:rFonts w:ascii="宋体" w:hAnsi="宋体" w:cs="宋体"/>
          <w:color w:val="333333"/>
          <w:kern w:val="0"/>
          <w:sz w:val="24"/>
        </w:rPr>
      </w:pPr>
      <w:r>
        <w:rPr>
          <w:rFonts w:hint="eastAsia" w:ascii="楷体_GB2312" w:hAnsi="宋体" w:eastAsia="楷体_GB2312"/>
          <w:b/>
          <w:color w:val="333333"/>
          <w:sz w:val="32"/>
          <w:szCs w:val="32"/>
        </w:rPr>
        <w:t>（三）相关建议。</w:t>
      </w:r>
    </w:p>
    <w:p>
      <w:pPr>
        <w:spacing w:line="560" w:lineRule="atLeast"/>
        <w:ind w:firstLine="640"/>
        <w:jc w:val="left"/>
        <w:rPr>
          <w:rFonts w:ascii="宋体" w:hAnsi="宋体" w:cs="宋体"/>
          <w:color w:val="333333"/>
          <w:kern w:val="0"/>
          <w:sz w:val="24"/>
        </w:rPr>
      </w:pPr>
      <w:r>
        <w:rPr>
          <w:rFonts w:hint="eastAsia" w:ascii="仿宋_GB2312" w:hAnsi="宋体" w:eastAsia="仿宋_GB2312" w:cs="宋体"/>
          <w:color w:val="333333"/>
          <w:sz w:val="32"/>
          <w:szCs w:val="32"/>
        </w:rPr>
        <w:t>通过对项目管理的绩效分析，我部应从以下几方面加强 整改措施，提升我中心项目绩效实施、监管能力。</w:t>
      </w:r>
    </w:p>
    <w:p>
      <w:pPr>
        <w:spacing w:line="560" w:lineRule="atLeast"/>
        <w:ind w:firstLine="640"/>
        <w:jc w:val="left"/>
        <w:rPr>
          <w:rFonts w:ascii="宋体" w:hAnsi="宋体" w:cs="宋体"/>
          <w:color w:val="333333"/>
          <w:kern w:val="0"/>
          <w:sz w:val="24"/>
        </w:rPr>
      </w:pPr>
      <w:r>
        <w:rPr>
          <w:rFonts w:hint="eastAsia" w:ascii="仿宋_GB2312" w:hAnsi="宋体" w:eastAsia="仿宋_GB2312" w:cs="宋体"/>
          <w:color w:val="333333"/>
          <w:sz w:val="32"/>
          <w:szCs w:val="32"/>
        </w:rPr>
        <w:t xml:space="preserve">1.在设定绩效考核目标时，结合项目特性，设置更明确的绩效考核方向，从更多角度、更细化方面设置更为 明晰的绩效考核目标。   </w:t>
      </w:r>
    </w:p>
    <w:p>
      <w:pPr>
        <w:spacing w:line="560" w:lineRule="atLeas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2.加强组织培训，交流学习，提升我中心该项目工作人员业务水平、专业能力。</w:t>
      </w:r>
    </w:p>
    <w:p>
      <w:pPr>
        <w:spacing w:line="600" w:lineRule="exact"/>
        <w:outlineLvl w:val="0"/>
        <w:rPr>
          <w:rFonts w:ascii="黑体" w:hAnsi="黑体" w:eastAsia="黑体"/>
          <w:color w:val="000000"/>
          <w:sz w:val="44"/>
          <w:szCs w:val="44"/>
        </w:rPr>
      </w:pPr>
      <w:r>
        <w:rPr>
          <w:rFonts w:hint="eastAsia" w:ascii="黑体" w:hAnsi="黑体" w:eastAsia="黑体"/>
          <w:color w:val="000000"/>
          <w:sz w:val="44"/>
          <w:szCs w:val="44"/>
        </w:rPr>
        <w:t>第五部分 附表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一、收入支出决算总表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二、收入决算表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三、支出决算表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四、财政拨款收入支出决算总表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五、财政拨款支出决算明细表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六、一般公共预算财政拨款支出决算表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七、一般公共预算财政拨款支出决算明细表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八、一般公共预算财政拨款基本支出决算表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九、一般公共预算财政拨款项目支出决算表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十、一般公共预算财政拨款“三公”经费支出决算表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十一、政府性基金预算财政拨款收入支出决算表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十二、政府性基金预算财政拨款“三公”经费支出决算表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十三、国有资本经营预算财政拨款收入支出决算表</w:t>
      </w:r>
    </w:p>
    <w:p>
      <w:pPr>
        <w:spacing w:line="500" w:lineRule="exact"/>
        <w:ind w:firstLine="640" w:firstLineChars="200"/>
        <w:jc w:val="left"/>
        <w:rPr>
          <w:rFonts w:ascii="仿宋_GB2312" w:hAnsi="宋体" w:eastAsia="仿宋_GB2312" w:cs="宋体"/>
          <w:color w:val="333333"/>
          <w:sz w:val="32"/>
          <w:szCs w:val="32"/>
        </w:rPr>
      </w:pPr>
      <w:r>
        <w:rPr>
          <w:rFonts w:hint="eastAsia" w:ascii="仿宋_GB2312" w:hAnsi="宋体" w:eastAsia="仿宋_GB2312" w:cs="宋体"/>
          <w:color w:val="333333"/>
          <w:sz w:val="32"/>
          <w:szCs w:val="32"/>
        </w:rPr>
        <w:t>十四、国有资本经营预算财政拨款支出决算表</w:t>
      </w:r>
    </w:p>
    <w:bookmarkEnd w:id="57"/>
    <w:bookmarkEnd w:id="60"/>
    <w:p>
      <w:pPr>
        <w:spacing w:line="560" w:lineRule="atLeast"/>
        <w:ind w:firstLine="640" w:firstLineChars="200"/>
        <w:jc w:val="left"/>
        <w:rPr>
          <w:rFonts w:ascii="仿宋_GB2312" w:hAnsi="宋体" w:eastAsia="仿宋_GB2312" w:cs="宋体"/>
          <w:color w:val="333333"/>
          <w:sz w:val="32"/>
          <w:szCs w:val="32"/>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42C7"/>
    <w:rsid w:val="0002549F"/>
    <w:rsid w:val="000622CA"/>
    <w:rsid w:val="0006487A"/>
    <w:rsid w:val="00065F8F"/>
    <w:rsid w:val="000768F2"/>
    <w:rsid w:val="0009184B"/>
    <w:rsid w:val="0009593C"/>
    <w:rsid w:val="00095D57"/>
    <w:rsid w:val="000A0C4D"/>
    <w:rsid w:val="000B0327"/>
    <w:rsid w:val="000B047F"/>
    <w:rsid w:val="000B5923"/>
    <w:rsid w:val="000B5A48"/>
    <w:rsid w:val="000B6FF3"/>
    <w:rsid w:val="000C3467"/>
    <w:rsid w:val="000C3CA6"/>
    <w:rsid w:val="000D1267"/>
    <w:rsid w:val="000D1D50"/>
    <w:rsid w:val="000D2465"/>
    <w:rsid w:val="000D5522"/>
    <w:rsid w:val="000D5782"/>
    <w:rsid w:val="000E4876"/>
    <w:rsid w:val="000E6487"/>
    <w:rsid w:val="000E6613"/>
    <w:rsid w:val="000E7119"/>
    <w:rsid w:val="00114E9B"/>
    <w:rsid w:val="001339EF"/>
    <w:rsid w:val="0013653F"/>
    <w:rsid w:val="0014729F"/>
    <w:rsid w:val="001556BF"/>
    <w:rsid w:val="001575AB"/>
    <w:rsid w:val="00157A16"/>
    <w:rsid w:val="00157BAB"/>
    <w:rsid w:val="001654D1"/>
    <w:rsid w:val="0018009C"/>
    <w:rsid w:val="0018106D"/>
    <w:rsid w:val="00181805"/>
    <w:rsid w:val="001877A7"/>
    <w:rsid w:val="00191536"/>
    <w:rsid w:val="00192E78"/>
    <w:rsid w:val="00196687"/>
    <w:rsid w:val="001A01F4"/>
    <w:rsid w:val="001A6B44"/>
    <w:rsid w:val="001C0962"/>
    <w:rsid w:val="001C180D"/>
    <w:rsid w:val="001D7531"/>
    <w:rsid w:val="001E737D"/>
    <w:rsid w:val="001F0246"/>
    <w:rsid w:val="001F0592"/>
    <w:rsid w:val="001F7506"/>
    <w:rsid w:val="002006CD"/>
    <w:rsid w:val="00202B36"/>
    <w:rsid w:val="0020417D"/>
    <w:rsid w:val="00204B7A"/>
    <w:rsid w:val="0021101A"/>
    <w:rsid w:val="00217D17"/>
    <w:rsid w:val="00220128"/>
    <w:rsid w:val="00220536"/>
    <w:rsid w:val="00232DC7"/>
    <w:rsid w:val="00235629"/>
    <w:rsid w:val="00235DF7"/>
    <w:rsid w:val="002401FC"/>
    <w:rsid w:val="0025474A"/>
    <w:rsid w:val="00255F64"/>
    <w:rsid w:val="00260C38"/>
    <w:rsid w:val="002616C0"/>
    <w:rsid w:val="002662AA"/>
    <w:rsid w:val="00272073"/>
    <w:rsid w:val="00280496"/>
    <w:rsid w:val="0029462C"/>
    <w:rsid w:val="00295495"/>
    <w:rsid w:val="002B1458"/>
    <w:rsid w:val="002B2613"/>
    <w:rsid w:val="002C5681"/>
    <w:rsid w:val="002D01F2"/>
    <w:rsid w:val="002D6F3A"/>
    <w:rsid w:val="002E17F8"/>
    <w:rsid w:val="002E5E26"/>
    <w:rsid w:val="002F1818"/>
    <w:rsid w:val="002F567B"/>
    <w:rsid w:val="002F7BAB"/>
    <w:rsid w:val="003216A9"/>
    <w:rsid w:val="00334DBD"/>
    <w:rsid w:val="003514E7"/>
    <w:rsid w:val="00360ED5"/>
    <w:rsid w:val="00363A4B"/>
    <w:rsid w:val="0037013F"/>
    <w:rsid w:val="00380C92"/>
    <w:rsid w:val="00381B6A"/>
    <w:rsid w:val="003848E2"/>
    <w:rsid w:val="003870ED"/>
    <w:rsid w:val="003A24BF"/>
    <w:rsid w:val="003A39FA"/>
    <w:rsid w:val="003A41E5"/>
    <w:rsid w:val="003A484F"/>
    <w:rsid w:val="003B0BE0"/>
    <w:rsid w:val="003B0C1B"/>
    <w:rsid w:val="003B1C28"/>
    <w:rsid w:val="003B46E1"/>
    <w:rsid w:val="003B57A6"/>
    <w:rsid w:val="003B688C"/>
    <w:rsid w:val="003C0291"/>
    <w:rsid w:val="003C39AE"/>
    <w:rsid w:val="003C7B60"/>
    <w:rsid w:val="003D1FB2"/>
    <w:rsid w:val="003D4F81"/>
    <w:rsid w:val="003D66DA"/>
    <w:rsid w:val="003E1310"/>
    <w:rsid w:val="003E3E95"/>
    <w:rsid w:val="003E5FFC"/>
    <w:rsid w:val="003E6F55"/>
    <w:rsid w:val="003F7377"/>
    <w:rsid w:val="00400AE1"/>
    <w:rsid w:val="004020B6"/>
    <w:rsid w:val="00406254"/>
    <w:rsid w:val="00407682"/>
    <w:rsid w:val="004116BB"/>
    <w:rsid w:val="00420440"/>
    <w:rsid w:val="004223DE"/>
    <w:rsid w:val="00432508"/>
    <w:rsid w:val="00434489"/>
    <w:rsid w:val="00437085"/>
    <w:rsid w:val="00443880"/>
    <w:rsid w:val="004464F4"/>
    <w:rsid w:val="004527A6"/>
    <w:rsid w:val="00464A2D"/>
    <w:rsid w:val="00471401"/>
    <w:rsid w:val="00473F31"/>
    <w:rsid w:val="0048263A"/>
    <w:rsid w:val="00487E5D"/>
    <w:rsid w:val="004A2670"/>
    <w:rsid w:val="004A711F"/>
    <w:rsid w:val="004B199D"/>
    <w:rsid w:val="004B438A"/>
    <w:rsid w:val="004B4690"/>
    <w:rsid w:val="004D0EC9"/>
    <w:rsid w:val="004D550E"/>
    <w:rsid w:val="004D69A9"/>
    <w:rsid w:val="004E0A2D"/>
    <w:rsid w:val="004E1685"/>
    <w:rsid w:val="004E206B"/>
    <w:rsid w:val="004E2B92"/>
    <w:rsid w:val="004E6DF7"/>
    <w:rsid w:val="004F0FBD"/>
    <w:rsid w:val="004F6460"/>
    <w:rsid w:val="00500FA8"/>
    <w:rsid w:val="00503705"/>
    <w:rsid w:val="00505A47"/>
    <w:rsid w:val="00512FDA"/>
    <w:rsid w:val="00520DA0"/>
    <w:rsid w:val="00546D62"/>
    <w:rsid w:val="00565751"/>
    <w:rsid w:val="005664BB"/>
    <w:rsid w:val="0057481D"/>
    <w:rsid w:val="00577E28"/>
    <w:rsid w:val="00583776"/>
    <w:rsid w:val="0058486E"/>
    <w:rsid w:val="005864FC"/>
    <w:rsid w:val="00590AE0"/>
    <w:rsid w:val="005947A6"/>
    <w:rsid w:val="005A3678"/>
    <w:rsid w:val="005C7482"/>
    <w:rsid w:val="005D1C8B"/>
    <w:rsid w:val="005D5CED"/>
    <w:rsid w:val="005F0BE6"/>
    <w:rsid w:val="005F1A4C"/>
    <w:rsid w:val="005F4110"/>
    <w:rsid w:val="005F4C50"/>
    <w:rsid w:val="005F7318"/>
    <w:rsid w:val="00600277"/>
    <w:rsid w:val="006008BB"/>
    <w:rsid w:val="00603C44"/>
    <w:rsid w:val="00605688"/>
    <w:rsid w:val="006070AF"/>
    <w:rsid w:val="00607E6C"/>
    <w:rsid w:val="006101B1"/>
    <w:rsid w:val="00614E44"/>
    <w:rsid w:val="00622830"/>
    <w:rsid w:val="00630AEF"/>
    <w:rsid w:val="006325F8"/>
    <w:rsid w:val="00634C9A"/>
    <w:rsid w:val="0063506F"/>
    <w:rsid w:val="006440E4"/>
    <w:rsid w:val="00644F9A"/>
    <w:rsid w:val="0066343B"/>
    <w:rsid w:val="00664777"/>
    <w:rsid w:val="006748A4"/>
    <w:rsid w:val="00683E73"/>
    <w:rsid w:val="00686886"/>
    <w:rsid w:val="00694698"/>
    <w:rsid w:val="00695E26"/>
    <w:rsid w:val="006A3141"/>
    <w:rsid w:val="006A5A24"/>
    <w:rsid w:val="006A5E34"/>
    <w:rsid w:val="006A6EC2"/>
    <w:rsid w:val="006B2422"/>
    <w:rsid w:val="006B2B9A"/>
    <w:rsid w:val="006B3AB1"/>
    <w:rsid w:val="006C1937"/>
    <w:rsid w:val="006F020C"/>
    <w:rsid w:val="006F26DB"/>
    <w:rsid w:val="006F72A1"/>
    <w:rsid w:val="007028C7"/>
    <w:rsid w:val="00711105"/>
    <w:rsid w:val="007120EE"/>
    <w:rsid w:val="007127B7"/>
    <w:rsid w:val="007232B4"/>
    <w:rsid w:val="007313A2"/>
    <w:rsid w:val="007416B6"/>
    <w:rsid w:val="00746F48"/>
    <w:rsid w:val="00747D14"/>
    <w:rsid w:val="0075404D"/>
    <w:rsid w:val="0076182A"/>
    <w:rsid w:val="0076667C"/>
    <w:rsid w:val="00767B7E"/>
    <w:rsid w:val="00772CDB"/>
    <w:rsid w:val="00773397"/>
    <w:rsid w:val="00775D49"/>
    <w:rsid w:val="007770C3"/>
    <w:rsid w:val="00781F21"/>
    <w:rsid w:val="00783067"/>
    <w:rsid w:val="00783C31"/>
    <w:rsid w:val="00784D24"/>
    <w:rsid w:val="00785492"/>
    <w:rsid w:val="00785FBA"/>
    <w:rsid w:val="00786283"/>
    <w:rsid w:val="00786E4A"/>
    <w:rsid w:val="007875EB"/>
    <w:rsid w:val="0079199A"/>
    <w:rsid w:val="0079426B"/>
    <w:rsid w:val="007A50A6"/>
    <w:rsid w:val="007B138C"/>
    <w:rsid w:val="007B1C91"/>
    <w:rsid w:val="007B44CE"/>
    <w:rsid w:val="007B4934"/>
    <w:rsid w:val="007D312A"/>
    <w:rsid w:val="007D3F19"/>
    <w:rsid w:val="007E23B0"/>
    <w:rsid w:val="007E3ACB"/>
    <w:rsid w:val="007F1991"/>
    <w:rsid w:val="007F2C2F"/>
    <w:rsid w:val="007F55FC"/>
    <w:rsid w:val="007F5665"/>
    <w:rsid w:val="007F62E3"/>
    <w:rsid w:val="00800112"/>
    <w:rsid w:val="00802E3A"/>
    <w:rsid w:val="00807052"/>
    <w:rsid w:val="00813DD8"/>
    <w:rsid w:val="00820D06"/>
    <w:rsid w:val="008253BB"/>
    <w:rsid w:val="00826106"/>
    <w:rsid w:val="008306A3"/>
    <w:rsid w:val="008319D2"/>
    <w:rsid w:val="0083706E"/>
    <w:rsid w:val="00840AE0"/>
    <w:rsid w:val="008423A5"/>
    <w:rsid w:val="00843CC4"/>
    <w:rsid w:val="00850625"/>
    <w:rsid w:val="00853718"/>
    <w:rsid w:val="00855221"/>
    <w:rsid w:val="00860645"/>
    <w:rsid w:val="00861B97"/>
    <w:rsid w:val="00871F71"/>
    <w:rsid w:val="00882442"/>
    <w:rsid w:val="00885AF4"/>
    <w:rsid w:val="008939CD"/>
    <w:rsid w:val="008A3286"/>
    <w:rsid w:val="008A45CB"/>
    <w:rsid w:val="008A5C32"/>
    <w:rsid w:val="008A5FA3"/>
    <w:rsid w:val="008B768C"/>
    <w:rsid w:val="008C4DB1"/>
    <w:rsid w:val="008C4EAF"/>
    <w:rsid w:val="008C5176"/>
    <w:rsid w:val="008C7DBD"/>
    <w:rsid w:val="008C7FD0"/>
    <w:rsid w:val="008E1DE7"/>
    <w:rsid w:val="008E707C"/>
    <w:rsid w:val="00900B08"/>
    <w:rsid w:val="00902155"/>
    <w:rsid w:val="00902FA3"/>
    <w:rsid w:val="00921C4B"/>
    <w:rsid w:val="00923564"/>
    <w:rsid w:val="0092392E"/>
    <w:rsid w:val="00930BC3"/>
    <w:rsid w:val="009315F9"/>
    <w:rsid w:val="009460BC"/>
    <w:rsid w:val="00946945"/>
    <w:rsid w:val="00951248"/>
    <w:rsid w:val="0095152F"/>
    <w:rsid w:val="00954C49"/>
    <w:rsid w:val="009679EF"/>
    <w:rsid w:val="00967F91"/>
    <w:rsid w:val="0097099F"/>
    <w:rsid w:val="00971997"/>
    <w:rsid w:val="00971FFC"/>
    <w:rsid w:val="00973E89"/>
    <w:rsid w:val="0098660A"/>
    <w:rsid w:val="009931C3"/>
    <w:rsid w:val="00994CE1"/>
    <w:rsid w:val="00995914"/>
    <w:rsid w:val="009B2C43"/>
    <w:rsid w:val="009B4EAE"/>
    <w:rsid w:val="009B7573"/>
    <w:rsid w:val="009C22F4"/>
    <w:rsid w:val="009C2E98"/>
    <w:rsid w:val="009C2FC2"/>
    <w:rsid w:val="009D15E3"/>
    <w:rsid w:val="009D3447"/>
    <w:rsid w:val="009D4711"/>
    <w:rsid w:val="009E2980"/>
    <w:rsid w:val="009F1185"/>
    <w:rsid w:val="009F18CD"/>
    <w:rsid w:val="009F2A13"/>
    <w:rsid w:val="00A04EB0"/>
    <w:rsid w:val="00A13CC1"/>
    <w:rsid w:val="00A16847"/>
    <w:rsid w:val="00A237D8"/>
    <w:rsid w:val="00A268C4"/>
    <w:rsid w:val="00A3037A"/>
    <w:rsid w:val="00A307CD"/>
    <w:rsid w:val="00A3254C"/>
    <w:rsid w:val="00A40A00"/>
    <w:rsid w:val="00A4142F"/>
    <w:rsid w:val="00A56DF2"/>
    <w:rsid w:val="00A65666"/>
    <w:rsid w:val="00A67AB5"/>
    <w:rsid w:val="00A81705"/>
    <w:rsid w:val="00A91760"/>
    <w:rsid w:val="00A91FF3"/>
    <w:rsid w:val="00A93216"/>
    <w:rsid w:val="00A93B00"/>
    <w:rsid w:val="00A93C21"/>
    <w:rsid w:val="00A97649"/>
    <w:rsid w:val="00AA1ABB"/>
    <w:rsid w:val="00AB27B8"/>
    <w:rsid w:val="00AB7658"/>
    <w:rsid w:val="00AC3C6A"/>
    <w:rsid w:val="00AD0B02"/>
    <w:rsid w:val="00AD3928"/>
    <w:rsid w:val="00AD5620"/>
    <w:rsid w:val="00AD7C1B"/>
    <w:rsid w:val="00AE16BA"/>
    <w:rsid w:val="00AE1EBE"/>
    <w:rsid w:val="00AE4BF1"/>
    <w:rsid w:val="00AF03BA"/>
    <w:rsid w:val="00B03C9D"/>
    <w:rsid w:val="00B060AE"/>
    <w:rsid w:val="00B10517"/>
    <w:rsid w:val="00B14E76"/>
    <w:rsid w:val="00B161B8"/>
    <w:rsid w:val="00B2048C"/>
    <w:rsid w:val="00B26FF6"/>
    <w:rsid w:val="00B310B9"/>
    <w:rsid w:val="00B35A45"/>
    <w:rsid w:val="00B35F3F"/>
    <w:rsid w:val="00B36CBB"/>
    <w:rsid w:val="00B425E0"/>
    <w:rsid w:val="00B440AA"/>
    <w:rsid w:val="00B44B70"/>
    <w:rsid w:val="00B5275B"/>
    <w:rsid w:val="00B53C56"/>
    <w:rsid w:val="00B6046F"/>
    <w:rsid w:val="00B654ED"/>
    <w:rsid w:val="00B77EA6"/>
    <w:rsid w:val="00B81598"/>
    <w:rsid w:val="00B818BB"/>
    <w:rsid w:val="00B841F1"/>
    <w:rsid w:val="00B944D6"/>
    <w:rsid w:val="00B97A67"/>
    <w:rsid w:val="00B97F5D"/>
    <w:rsid w:val="00BB4DF0"/>
    <w:rsid w:val="00BC289F"/>
    <w:rsid w:val="00BC5361"/>
    <w:rsid w:val="00BC5460"/>
    <w:rsid w:val="00BC6B50"/>
    <w:rsid w:val="00BD0E25"/>
    <w:rsid w:val="00BD2A74"/>
    <w:rsid w:val="00BE4DDC"/>
    <w:rsid w:val="00BE71E6"/>
    <w:rsid w:val="00BF5BD6"/>
    <w:rsid w:val="00C03E31"/>
    <w:rsid w:val="00C21436"/>
    <w:rsid w:val="00C33E72"/>
    <w:rsid w:val="00C354B2"/>
    <w:rsid w:val="00C35554"/>
    <w:rsid w:val="00C4158D"/>
    <w:rsid w:val="00C42709"/>
    <w:rsid w:val="00C50729"/>
    <w:rsid w:val="00C533CC"/>
    <w:rsid w:val="00C5751C"/>
    <w:rsid w:val="00C60766"/>
    <w:rsid w:val="00C61BFC"/>
    <w:rsid w:val="00C629DB"/>
    <w:rsid w:val="00C62B85"/>
    <w:rsid w:val="00C65438"/>
    <w:rsid w:val="00C87CD4"/>
    <w:rsid w:val="00C91CBB"/>
    <w:rsid w:val="00CA4589"/>
    <w:rsid w:val="00CC09B6"/>
    <w:rsid w:val="00CC44F2"/>
    <w:rsid w:val="00CC4F31"/>
    <w:rsid w:val="00CC666F"/>
    <w:rsid w:val="00CD13D4"/>
    <w:rsid w:val="00CD1E3F"/>
    <w:rsid w:val="00CD6BA1"/>
    <w:rsid w:val="00CE4097"/>
    <w:rsid w:val="00CE44F6"/>
    <w:rsid w:val="00CE49DA"/>
    <w:rsid w:val="00CE7B61"/>
    <w:rsid w:val="00D00095"/>
    <w:rsid w:val="00D124CB"/>
    <w:rsid w:val="00D146BF"/>
    <w:rsid w:val="00D20620"/>
    <w:rsid w:val="00D26091"/>
    <w:rsid w:val="00D27B81"/>
    <w:rsid w:val="00D34E7C"/>
    <w:rsid w:val="00D35489"/>
    <w:rsid w:val="00D41816"/>
    <w:rsid w:val="00D447C0"/>
    <w:rsid w:val="00D51276"/>
    <w:rsid w:val="00D63D39"/>
    <w:rsid w:val="00D7035F"/>
    <w:rsid w:val="00D77E22"/>
    <w:rsid w:val="00D81DDC"/>
    <w:rsid w:val="00D86228"/>
    <w:rsid w:val="00DA6487"/>
    <w:rsid w:val="00DA65AC"/>
    <w:rsid w:val="00DB1138"/>
    <w:rsid w:val="00DB1913"/>
    <w:rsid w:val="00DC410D"/>
    <w:rsid w:val="00DC5A2A"/>
    <w:rsid w:val="00DC68CA"/>
    <w:rsid w:val="00DC7CBA"/>
    <w:rsid w:val="00DD265A"/>
    <w:rsid w:val="00DD73B7"/>
    <w:rsid w:val="00DE2C83"/>
    <w:rsid w:val="00DF28BC"/>
    <w:rsid w:val="00DF2C7B"/>
    <w:rsid w:val="00DF34B9"/>
    <w:rsid w:val="00E00289"/>
    <w:rsid w:val="00E01053"/>
    <w:rsid w:val="00E07ACF"/>
    <w:rsid w:val="00E331A1"/>
    <w:rsid w:val="00E33202"/>
    <w:rsid w:val="00E336A9"/>
    <w:rsid w:val="00E35A34"/>
    <w:rsid w:val="00E35F3F"/>
    <w:rsid w:val="00E403FE"/>
    <w:rsid w:val="00E50624"/>
    <w:rsid w:val="00E55068"/>
    <w:rsid w:val="00E568DF"/>
    <w:rsid w:val="00E64269"/>
    <w:rsid w:val="00E64D6D"/>
    <w:rsid w:val="00E82158"/>
    <w:rsid w:val="00E82267"/>
    <w:rsid w:val="00E922B4"/>
    <w:rsid w:val="00E9463B"/>
    <w:rsid w:val="00EA010F"/>
    <w:rsid w:val="00EB7BDB"/>
    <w:rsid w:val="00ED1B63"/>
    <w:rsid w:val="00ED3C1F"/>
    <w:rsid w:val="00ED4085"/>
    <w:rsid w:val="00ED420E"/>
    <w:rsid w:val="00ED6787"/>
    <w:rsid w:val="00EE2F57"/>
    <w:rsid w:val="00EE47DF"/>
    <w:rsid w:val="00EE5CC6"/>
    <w:rsid w:val="00EF1803"/>
    <w:rsid w:val="00EF4C34"/>
    <w:rsid w:val="00EF77C6"/>
    <w:rsid w:val="00F03463"/>
    <w:rsid w:val="00F0506B"/>
    <w:rsid w:val="00F05438"/>
    <w:rsid w:val="00F1361C"/>
    <w:rsid w:val="00F15284"/>
    <w:rsid w:val="00F160C7"/>
    <w:rsid w:val="00F3017E"/>
    <w:rsid w:val="00F36D8F"/>
    <w:rsid w:val="00F417B1"/>
    <w:rsid w:val="00F46C49"/>
    <w:rsid w:val="00F47E2C"/>
    <w:rsid w:val="00F571EA"/>
    <w:rsid w:val="00F602DF"/>
    <w:rsid w:val="00F61170"/>
    <w:rsid w:val="00F612E7"/>
    <w:rsid w:val="00F64332"/>
    <w:rsid w:val="00F72E3F"/>
    <w:rsid w:val="00F749A6"/>
    <w:rsid w:val="00F77674"/>
    <w:rsid w:val="00F81FD9"/>
    <w:rsid w:val="00F841AA"/>
    <w:rsid w:val="00F85A62"/>
    <w:rsid w:val="00F86855"/>
    <w:rsid w:val="00F95D9F"/>
    <w:rsid w:val="00F9771C"/>
    <w:rsid w:val="00FA23E8"/>
    <w:rsid w:val="00FB1A02"/>
    <w:rsid w:val="00FB2D9F"/>
    <w:rsid w:val="00FD3CC1"/>
    <w:rsid w:val="00FE4A5C"/>
    <w:rsid w:val="00FE534A"/>
    <w:rsid w:val="00FE634F"/>
    <w:rsid w:val="00FF050C"/>
    <w:rsid w:val="00FF1E02"/>
    <w:rsid w:val="00FF30B4"/>
    <w:rsid w:val="00FF5C8D"/>
    <w:rsid w:val="00FF6BDC"/>
    <w:rsid w:val="10C055FF"/>
    <w:rsid w:val="16BB723D"/>
    <w:rsid w:val="186F493B"/>
    <w:rsid w:val="240371BF"/>
    <w:rsid w:val="29FD04D3"/>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uiPriority w:val="9"/>
    <w:rPr>
      <w:rFonts w:ascii="Times New Roman" w:hAnsi="Times New Roman"/>
      <w:b/>
      <w:bCs/>
      <w:kern w:val="44"/>
      <w:sz w:val="44"/>
      <w:szCs w:val="44"/>
    </w:rPr>
  </w:style>
  <w:style w:type="character" w:customStyle="1" w:styleId="26">
    <w:name w:val="标题 2 Char"/>
    <w:basedOn w:val="14"/>
    <w:link w:val="3"/>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uiPriority w:val="9"/>
    <w:rPr>
      <w:rFonts w:ascii="Times New Roman" w:hAnsi="Times New Roman"/>
      <w:b/>
      <w:bCs/>
      <w:kern w:val="2"/>
      <w:sz w:val="32"/>
      <w:szCs w:val="32"/>
    </w:rPr>
  </w:style>
  <w:style w:type="character" w:customStyle="1" w:styleId="30">
    <w:name w:val="15"/>
    <w:basedOn w:val="14"/>
    <w:uiPriority w:val="0"/>
  </w:style>
  <w:style w:type="character" w:customStyle="1" w:styleId="31">
    <w:name w:val="16"/>
    <w:basedOn w:val="14"/>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金额（万元）</c:v>
                </c:pt>
              </c:strCache>
            </c:strRef>
          </c:tx>
          <c:invertIfNegative val="0"/>
          <c:dLbls>
            <c:delete val="1"/>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1797.17</c:v>
                </c:pt>
                <c:pt idx="1">
                  <c:v>1567.65</c:v>
                </c:pt>
                <c:pt idx="2">
                  <c:v>1797.17</c:v>
                </c:pt>
                <c:pt idx="3">
                  <c:v>1567.65</c:v>
                </c:pt>
              </c:numCache>
            </c:numRef>
          </c:val>
        </c:ser>
        <c:dLbls>
          <c:showLegendKey val="0"/>
          <c:showVal val="0"/>
          <c:showCatName val="0"/>
          <c:showSerName val="0"/>
          <c:showPercent val="0"/>
          <c:showBubbleSize val="0"/>
        </c:dLbls>
        <c:gapWidth val="150"/>
        <c:axId val="131032192"/>
        <c:axId val="131034112"/>
      </c:barChart>
      <c:catAx>
        <c:axId val="13103219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034112"/>
        <c:crosses val="autoZero"/>
        <c:auto val="1"/>
        <c:lblAlgn val="ctr"/>
        <c:lblOffset val="100"/>
        <c:noMultiLvlLbl val="0"/>
      </c:catAx>
      <c:valAx>
        <c:axId val="13103411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03219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销售额（万元）</c:v>
                </c:pt>
              </c:strCache>
            </c:strRef>
          </c:tx>
          <c:explosion val="0"/>
          <c:dPt>
            <c:idx val="0"/>
            <c:bubble3D val="0"/>
          </c:dPt>
          <c:dPt>
            <c:idx val="1"/>
            <c:bubble3D val="0"/>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1525.15</c:v>
                </c:pt>
                <c:pt idx="1">
                  <c:v>42.5</c:v>
                </c:pt>
              </c:numCache>
            </c:numRef>
          </c:val>
        </c:ser>
        <c:ser>
          <c:idx val="1"/>
          <c:order val="1"/>
          <c:tx>
            <c:strRef>
              <c:f>Sheet1!$C$1</c:f>
              <c:strCache>
                <c:ptCount val="1"/>
                <c:pt idx="0">
                  <c:v>占比（%）</c:v>
                </c:pt>
              </c:strCache>
            </c:strRef>
          </c:tx>
          <c:explosion val="0"/>
          <c:dPt>
            <c:idx val="0"/>
            <c:bubble3D val="0"/>
          </c:dPt>
          <c:dPt>
            <c:idx val="1"/>
            <c:bubble3D val="0"/>
          </c:dPt>
          <c:dLbls>
            <c:delete val="1"/>
          </c:dLbls>
          <c:cat>
            <c:strRef>
              <c:f>Sheet1!$A$2:$A$3</c:f>
              <c:strCache>
                <c:ptCount val="2"/>
                <c:pt idx="0">
                  <c:v>一般公共预算财政拨款收入</c:v>
                </c:pt>
                <c:pt idx="1">
                  <c:v>政府性基金预算财政拨款收入</c:v>
                </c:pt>
              </c:strCache>
            </c:strRef>
          </c:cat>
          <c:val>
            <c:numRef>
              <c:f>Sheet1!$C$2:$C$3</c:f>
              <c:numCache>
                <c:formatCode>0%</c:formatCode>
                <c:ptCount val="2"/>
                <c:pt idx="0">
                  <c:v>0.979000000000001</c:v>
                </c:pt>
                <c:pt idx="1">
                  <c:v>0.021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4883395311724"/>
          <c:y val="0.62355310063854"/>
          <c:w val="0.372172054019062"/>
          <c:h val="0.3001574803149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金额（万元）</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768.05</c:v>
                </c:pt>
                <c:pt idx="1">
                  <c:v>799.6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7766571313417"/>
          <c:y val="0.734793648531495"/>
          <c:w val="0.14228336626461"/>
          <c:h val="0.2181950333131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elete val="1"/>
          </c:dLbls>
          <c:cat>
            <c:strRef>
              <c:f>Sheet1!$A$2:$A$5</c:f>
              <c:strCache>
                <c:ptCount val="4"/>
                <c:pt idx="0">
                  <c:v>2020年财政拨款收入</c:v>
                </c:pt>
                <c:pt idx="1">
                  <c:v>2020年财政拨款支出</c:v>
                </c:pt>
                <c:pt idx="2">
                  <c:v>2021年财政拨款收入</c:v>
                </c:pt>
                <c:pt idx="3">
                  <c:v>2021年财政拨款支出</c:v>
                </c:pt>
              </c:strCache>
            </c:strRef>
          </c:cat>
          <c:val>
            <c:numRef>
              <c:f>Sheet1!$B$2:$B$5</c:f>
              <c:numCache>
                <c:formatCode>General</c:formatCode>
                <c:ptCount val="4"/>
                <c:pt idx="0">
                  <c:v>1797.17</c:v>
                </c:pt>
                <c:pt idx="1">
                  <c:v>1797.17</c:v>
                </c:pt>
                <c:pt idx="2">
                  <c:v>1567.65</c:v>
                </c:pt>
                <c:pt idx="3">
                  <c:v>1567.65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525984251969"/>
          <c:y val="0.493029200946294"/>
          <c:w val="0.267325827262249"/>
          <c:h val="0.43247625436955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893576871664277"/>
          <c:y val="0.169600466608341"/>
          <c:w val="0.86612662053607"/>
          <c:h val="0.642606534648291"/>
        </c:manualLayout>
      </c:layout>
      <c:barChart>
        <c:barDir val="col"/>
        <c:grouping val="clustered"/>
        <c:varyColors val="0"/>
        <c:ser>
          <c:idx val="0"/>
          <c:order val="0"/>
          <c:tx>
            <c:strRef>
              <c:f>Sheet1!$B$1</c:f>
              <c:strCache>
                <c:ptCount val="1"/>
                <c:pt idx="0">
                  <c:v>金额（万元）</c:v>
                </c:pt>
              </c:strCache>
            </c:strRef>
          </c:tx>
          <c:invertIfNegative val="0"/>
          <c:dLbls>
            <c:delete val="1"/>
          </c:dLbls>
          <c:cat>
            <c:strRef>
              <c:f>Sheet1!$A$2:$A$5</c:f>
              <c:strCache>
                <c:ptCount val="2"/>
                <c:pt idx="0">
                  <c:v>2020年一般公共预算财政拨款支出</c:v>
                </c:pt>
                <c:pt idx="1">
                  <c:v>2021年一般公共预算财政拨款支出</c:v>
                </c:pt>
              </c:strCache>
            </c:strRef>
          </c:cat>
          <c:val>
            <c:numRef>
              <c:f>Sheet1!$B$2:$B$5</c:f>
              <c:numCache>
                <c:formatCode>General</c:formatCode>
                <c:ptCount val="4"/>
                <c:pt idx="0">
                  <c:v>1759.37</c:v>
                </c:pt>
                <c:pt idx="1">
                  <c:v>1525.15</c:v>
                </c:pt>
              </c:numCache>
            </c:numRef>
          </c:val>
        </c:ser>
        <c:dLbls>
          <c:showLegendKey val="0"/>
          <c:showVal val="0"/>
          <c:showCatName val="0"/>
          <c:showSerName val="0"/>
          <c:showPercent val="0"/>
          <c:showBubbleSize val="0"/>
        </c:dLbls>
        <c:gapWidth val="150"/>
        <c:axId val="131979904"/>
        <c:axId val="132029056"/>
      </c:barChart>
      <c:catAx>
        <c:axId val="131979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029056"/>
        <c:crosses val="autoZero"/>
        <c:auto val="1"/>
        <c:lblAlgn val="ctr"/>
        <c:lblOffset val="100"/>
        <c:noMultiLvlLbl val="0"/>
      </c:catAx>
      <c:valAx>
        <c:axId val="1320290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9799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金额（万元）</c:v>
                </c:pt>
              </c:strCache>
            </c:strRef>
          </c:tx>
          <c:explosion val="0"/>
          <c:dPt>
            <c:idx val="0"/>
            <c:bubble3D val="0"/>
          </c:dPt>
          <c:dPt>
            <c:idx val="1"/>
            <c:bubble3D val="0"/>
          </c:dPt>
          <c:dPt>
            <c:idx val="2"/>
            <c:bubble3D val="0"/>
          </c:dPt>
          <c:dPt>
            <c:idx val="3"/>
            <c:bubble3D val="0"/>
          </c:dPt>
          <c:dPt>
            <c:idx val="4"/>
            <c:bubble3D val="0"/>
          </c:dPt>
          <c:dPt>
            <c:idx val="5"/>
            <c:bubble3D val="0"/>
          </c:dPt>
          <c:dLbls>
            <c:delete val="1"/>
          </c:dLbls>
          <c:cat>
            <c:strRef>
              <c:f>Sheet1!$A$2:$A$7</c:f>
              <c:strCache>
                <c:ptCount val="6"/>
                <c:pt idx="0">
                  <c:v>一般公共服务（类）支出</c:v>
                </c:pt>
                <c:pt idx="1">
                  <c:v>社会保障和就业（类）支出</c:v>
                </c:pt>
                <c:pt idx="2">
                  <c:v>卫生健康支出</c:v>
                </c:pt>
                <c:pt idx="3">
                  <c:v>城乡社区支出</c:v>
                </c:pt>
                <c:pt idx="4">
                  <c:v>住房保障支出</c:v>
                </c:pt>
                <c:pt idx="5">
                  <c:v>年末结转结余</c:v>
                </c:pt>
              </c:strCache>
            </c:strRef>
          </c:cat>
          <c:val>
            <c:numRef>
              <c:f>Sheet1!$B$2:$B$7</c:f>
              <c:numCache>
                <c:formatCode>General</c:formatCode>
                <c:ptCount val="6"/>
                <c:pt idx="0">
                  <c:v>1381.94</c:v>
                </c:pt>
                <c:pt idx="1">
                  <c:v>56.35</c:v>
                </c:pt>
                <c:pt idx="2">
                  <c:v>41.55</c:v>
                </c:pt>
                <c:pt idx="3">
                  <c:v>25.24</c:v>
                </c:pt>
                <c:pt idx="4">
                  <c:v>20.06</c:v>
                </c:pt>
                <c:pt idx="5">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838006230534"/>
          <c:y val="0.574920066809831"/>
          <c:w val="0.340809968847354"/>
          <c:h val="0.36531138153185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金额（万元）</c:v>
                </c:pt>
              </c:strCache>
            </c:strRef>
          </c:tx>
          <c:explosion val="0"/>
          <c:dPt>
            <c:idx val="0"/>
            <c:bubble3D val="0"/>
          </c:dPt>
          <c:dPt>
            <c:idx val="1"/>
            <c:bubble3D val="0"/>
          </c:dPt>
          <c:dLbls>
            <c:delete val="1"/>
          </c:dLbls>
          <c:cat>
            <c:strRef>
              <c:f>Sheet1!$A$2:$A$3</c:f>
              <c:strCache>
                <c:ptCount val="2"/>
                <c:pt idx="0">
                  <c:v>公务用车购置及运行维护费支出</c:v>
                </c:pt>
                <c:pt idx="1">
                  <c:v>公务接待费支出</c:v>
                </c:pt>
              </c:strCache>
            </c:strRef>
          </c:cat>
          <c:val>
            <c:numRef>
              <c:f>Sheet1!$B$2:$B$3</c:f>
              <c:numCache>
                <c:formatCode>General</c:formatCode>
                <c:ptCount val="2"/>
                <c:pt idx="0">
                  <c:v>483</c:v>
                </c:pt>
                <c:pt idx="1">
                  <c:v>0.48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9408099688474"/>
          <c:y val="0.583838608409243"/>
          <c:w val="0.40809968847352"/>
          <c:h val="0.2317994956512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B5524-C6C9-4B6A-B1E6-1EF092138B9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1714</Words>
  <Characters>9774</Characters>
  <Lines>81</Lines>
  <Paragraphs>22</Paragraphs>
  <TotalTime>1256</TotalTime>
  <ScaleCrop>false</ScaleCrop>
  <LinksUpToDate>false</LinksUpToDate>
  <CharactersWithSpaces>11466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2021-08-27T01:40:00Z</cp:lastPrinted>
  <dcterms:modified xsi:type="dcterms:W3CDTF">2022-09-07T09:17:22Z</dcterms:modified>
  <dc:title>四川省***</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