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hint="eastAsia" w:ascii="方正小标宋简体" w:hAnsi="宋体" w:eastAsia="方正小标宋简体"/>
          <w:b/>
          <w:color w:val="000000"/>
          <w:sz w:val="72"/>
          <w:szCs w:val="72"/>
        </w:rPr>
      </w:pPr>
      <w:bookmarkStart w:id="1" w:name="_Toc15377425"/>
      <w:bookmarkStart w:id="2" w:name="_Toc15396597"/>
      <w:bookmarkStart w:id="3" w:name="_Toc15396475"/>
      <w:bookmarkStart w:id="4" w:name="_Toc15378441"/>
      <w:bookmarkStart w:id="5" w:name="_Toc15377193"/>
      <w:r>
        <w:rPr>
          <w:rFonts w:hint="eastAsia" w:ascii="方正小标宋简体" w:hAnsi="黑体" w:eastAsia="方正小标宋简体"/>
          <w:b/>
          <w:color w:val="000000"/>
          <w:sz w:val="72"/>
          <w:szCs w:val="72"/>
        </w:rPr>
        <w:t>2019</w:t>
      </w:r>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hint="eastAsia" w:ascii="方正小标宋简体" w:hAnsi="宋体" w:eastAsia="方正小标宋简体"/>
          <w:b/>
          <w:color w:val="000000"/>
          <w:sz w:val="72"/>
          <w:szCs w:val="72"/>
        </w:rPr>
      </w:pPr>
      <w:bookmarkStart w:id="6" w:name="_Toc15396476"/>
      <w:bookmarkStart w:id="7" w:name="_Toc15377426"/>
      <w:bookmarkStart w:id="8" w:name="_Toc15396598"/>
      <w:bookmarkStart w:id="9" w:name="_Toc15377194"/>
      <w:bookmarkStart w:id="10" w:name="_Toc15378442"/>
      <w:r>
        <w:rPr>
          <w:rFonts w:hint="eastAsia" w:ascii="方正小标宋简体" w:hAnsi="宋体" w:eastAsia="方正小标宋简体"/>
          <w:b/>
          <w:color w:val="000000"/>
          <w:sz w:val="72"/>
          <w:szCs w:val="72"/>
        </w:rPr>
        <w:t>南江县</w:t>
      </w:r>
      <w:bookmarkEnd w:id="0"/>
      <w:bookmarkStart w:id="11" w:name="_Toc15306268"/>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lang w:eastAsia="zh-CN"/>
        </w:rPr>
      </w:pPr>
      <w:r>
        <w:rPr>
          <w:rFonts w:hint="eastAsia" w:ascii="方正小标宋简体" w:hAnsi="宋体" w:eastAsia="方正小标宋简体"/>
          <w:b/>
          <w:color w:val="000000"/>
          <w:sz w:val="52"/>
          <w:szCs w:val="52"/>
        </w:rPr>
        <w:t>南江县</w:t>
      </w:r>
      <w:r>
        <w:rPr>
          <w:rFonts w:hint="eastAsia" w:ascii="方正小标宋简体" w:hAnsi="宋体" w:eastAsia="方正小标宋简体"/>
          <w:b/>
          <w:color w:val="000000"/>
          <w:sz w:val="52"/>
          <w:szCs w:val="52"/>
          <w:lang w:eastAsia="zh-CN"/>
        </w:rPr>
        <w:t>地方海事处</w:t>
      </w: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Style w:val="24"/>
          <w:rFonts w:ascii="黑体" w:hAnsi="黑体" w:eastAsia="黑体"/>
          <w:b w:val="0"/>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sz w:val="44"/>
          <w:szCs w:val="44"/>
        </w:rPr>
        <w:t xml:space="preserve">第一部分 </w:t>
      </w:r>
      <w:r>
        <w:rPr>
          <w:rStyle w:val="24"/>
          <w:rFonts w:hint="eastAsia" w:ascii="黑体" w:hAnsi="黑体" w:eastAsia="黑体"/>
          <w:b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bookmarkEnd w:id="16"/>
    <w:bookmarkEnd w:id="17"/>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bookmarkStart w:id="18" w:name="_Toc15377199"/>
      <w:bookmarkStart w:id="19" w:name="_Toc15378446"/>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 xml:space="preserve">负责宣传、贯彻和执行水路交通管理的法律法规、方针政策，依法履行法定职责，按照法律法规授权和县交通运输局委托，承担辖区内水路交通管理、行政执法工作。                               </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制定本辖区水上交通安全工作发展规划和年度安全管理工作计划，布置和实施季节安全管理工作和特殊时期安全管理工作。</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负责辖区水上交通安全监管巡（检）查，强化港监设施设备管理，加强安全隐患的排查和治理，查处违法行为，维护良好安全交通秩序。</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负责建立辖区水上交通安全应急机制，发生险情时积极组织力量救助，及时向政府和上级主管部门报告，负责险情的应急响应。</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负责水上交通防汛减灾、应急处突、汛情传递以及监督沉船沉物及障碍物的打捞工作。负责水上交通事故调查处理，受理因水上交通事故引起民事纠分的调解。（二）2019年重点工作完成情况。</w:t>
      </w:r>
      <w:bookmarkEnd w:id="18"/>
      <w:bookmarkEnd w:id="19"/>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负责辖区船舶登记的受理前审查工作、港监规费征收、缴解，建立港监基础台帐、档案，做好进出港口签证工作。</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加强从业人员的安全教育和学习培训，负责辖区有船乡镇管船机构的业务指导以及船员的资格年审工作。</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 xml:space="preserve">负责对辖区通航水域的船舶实施船舶安检工作。     </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负责办理辖区通航水域内采石采沙等临时施工和非永久性建筑物水上水下施工作业行政许可工作，发布航行通（警）告。受理可能影响航行安全的沉没物、漂流物、搁浅物情况报告，并督促其所有人和经营人按照国家有关规定设置警示标志和打捞，负责辖区通航水域内沉船沉物打捞作业审批。受理航道、航标等异常情况的报告，及时发布航行警告，抄告航道管理部门。</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负责渡口设置或者撤销审批前的审查工作。</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承办县人民政府及上级主管部门交办的其他工作。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p>
    <w:p>
      <w:pPr>
        <w:spacing w:line="520" w:lineRule="exact"/>
        <w:ind w:left="2" w:leftChars="1" w:firstLine="642" w:firstLineChars="200"/>
        <w:rPr>
          <w:rFonts w:hint="eastAsia"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w:t>
      </w:r>
      <w:r>
        <w:rPr>
          <w:rFonts w:hint="eastAsia" w:ascii="楷体" w:hAnsi="楷体" w:eastAsia="楷体"/>
          <w:b/>
          <w:sz w:val="32"/>
          <w:szCs w:val="32"/>
        </w:rPr>
        <w:t>强化安全监管力度，落实安全管理责任</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通过全处干部职工的拼搏努力，</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年我县水上交通实现了无安全责任事故的优异成绩。为实现这一目标，我处一是落实水上交通安全监管网络及分片包干责任制，突出五一、中秋、国庆、红叶等重点时段、重点船舶的安全监管，在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年，我县</w:t>
      </w:r>
      <w:r>
        <w:rPr>
          <w:rFonts w:hint="eastAsia" w:ascii="仿宋_GB2312" w:hAnsi="仿宋_GB2312" w:eastAsia="仿宋_GB2312" w:cs="仿宋_GB2312"/>
          <w:sz w:val="32"/>
          <w:szCs w:val="32"/>
          <w:lang w:val="en-US" w:eastAsia="zh-CN"/>
        </w:rPr>
        <w:t>的渡运工作</w:t>
      </w:r>
      <w:r>
        <w:rPr>
          <w:rFonts w:hint="eastAsia" w:ascii="仿宋_GB2312" w:hAnsi="仿宋_GB2312" w:eastAsia="仿宋_GB2312" w:cs="仿宋_GB2312"/>
          <w:sz w:val="32"/>
          <w:szCs w:val="32"/>
        </w:rPr>
        <w:t>未发生任何安全责任事故；二是与全县1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有船乡镇签订水上交通安全管理工作目标责任书，明确安全管理责任；三是对全县船舶开展了年检审工作，核查营运资格，检验船舶适航状况，确保源头安全；四是开展了安全生产大检查暨今冬明春安全工作、汛前安全大检查、船员特殊培训、船舶年检审、安全生产月，水上交通安全生产大检查隐患大排查、遏制水上交通重特大事故等活动，对全县船舶的安全隐患进行了摸排整治，提升了船员、乘客安全渡运意识，落实了汛期24小时值班制度及各类应急物资储备，夯实了平安度汛的基础。</w:t>
      </w:r>
    </w:p>
    <w:p>
      <w:pPr>
        <w:spacing w:line="520" w:lineRule="exact"/>
        <w:ind w:left="-6" w:leftChars="-3" w:firstLine="642" w:firstLineChars="200"/>
        <w:rPr>
          <w:rFonts w:hint="eastAsia" w:ascii="楷体" w:hAnsi="楷体" w:eastAsia="楷体"/>
          <w:b/>
          <w:sz w:val="32"/>
          <w:szCs w:val="32"/>
        </w:rPr>
      </w:pPr>
      <w:r>
        <w:rPr>
          <w:rFonts w:hint="eastAsia" w:ascii="楷体" w:hAnsi="楷体" w:eastAsia="楷体"/>
          <w:b/>
          <w:sz w:val="32"/>
          <w:szCs w:val="32"/>
        </w:rPr>
        <w:t>2</w:t>
      </w:r>
      <w:r>
        <w:rPr>
          <w:rFonts w:hint="eastAsia" w:ascii="楷体" w:hAnsi="楷体" w:eastAsia="楷体"/>
          <w:b/>
          <w:sz w:val="32"/>
          <w:szCs w:val="32"/>
          <w:lang w:val="en-US" w:eastAsia="zh-CN"/>
        </w:rPr>
        <w:t>.</w:t>
      </w:r>
      <w:r>
        <w:rPr>
          <w:rFonts w:hint="eastAsia" w:ascii="楷体" w:hAnsi="楷体" w:eastAsia="楷体"/>
          <w:b/>
          <w:sz w:val="32"/>
          <w:szCs w:val="32"/>
        </w:rPr>
        <w:t>紧抓水运建设机遇，加快水运建设步伐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rPr>
        <w:t>根据南江</w:t>
      </w:r>
      <w:r>
        <w:rPr>
          <w:rFonts w:hint="eastAsia" w:ascii="仿宋_GB2312" w:hAnsi="仿宋_GB2312" w:eastAsia="仿宋_GB2312" w:cs="仿宋_GB2312"/>
          <w:sz w:val="32"/>
          <w:lang w:val="en-US" w:eastAsia="zh-CN"/>
        </w:rPr>
        <w:t>水上</w:t>
      </w:r>
      <w:r>
        <w:rPr>
          <w:rFonts w:hint="eastAsia" w:ascii="仿宋_GB2312" w:hAnsi="仿宋_GB2312" w:eastAsia="仿宋_GB2312" w:cs="仿宋_GB2312"/>
          <w:sz w:val="32"/>
        </w:rPr>
        <w:t>交通需求实际，</w:t>
      </w:r>
      <w:r>
        <w:rPr>
          <w:rFonts w:hint="eastAsia" w:ascii="仿宋_GB2312" w:hAnsi="仿宋_GB2312" w:eastAsia="仿宋_GB2312" w:cs="仿宋_GB2312"/>
          <w:sz w:val="32"/>
          <w:lang w:val="en-US" w:eastAsia="zh-CN"/>
        </w:rPr>
        <w:t>预计完</w:t>
      </w:r>
      <w:r>
        <w:rPr>
          <w:rFonts w:hint="eastAsia" w:ascii="仿宋_GB2312" w:hAnsi="仿宋_GB2312" w:eastAsia="仿宋_GB2312" w:cs="仿宋_GB2312"/>
          <w:sz w:val="32"/>
        </w:rPr>
        <w:t>成玉堂水库水上应急救助点、海巡艇1艘、应急系锚设施4套等建设项目，</w:t>
      </w:r>
      <w:r>
        <w:rPr>
          <w:rFonts w:hint="eastAsia" w:ascii="仿宋_GB2312" w:hAnsi="仿宋_GB2312" w:eastAsia="仿宋_GB2312" w:cs="仿宋_GB2312"/>
          <w:sz w:val="32"/>
          <w:lang w:val="en-US" w:eastAsia="zh-CN"/>
        </w:rPr>
        <w:t>工程尚在积极建设中</w:t>
      </w:r>
      <w:r>
        <w:rPr>
          <w:rFonts w:hint="eastAsia" w:ascii="仿宋_GB2312" w:hAnsi="仿宋_GB2312" w:eastAsia="仿宋_GB2312" w:cs="仿宋_GB2312"/>
          <w:sz w:val="32"/>
        </w:rPr>
        <w:t>。</w:t>
      </w:r>
    </w:p>
    <w:p>
      <w:pPr>
        <w:spacing w:line="520" w:lineRule="exact"/>
        <w:ind w:firstLine="645"/>
        <w:rPr>
          <w:rFonts w:hint="eastAsia" w:ascii="楷体" w:hAnsi="楷体" w:eastAsia="楷体"/>
          <w:b/>
          <w:sz w:val="32"/>
          <w:szCs w:val="32"/>
        </w:rPr>
      </w:pPr>
      <w:r>
        <w:rPr>
          <w:rFonts w:hint="eastAsia" w:ascii="楷体" w:hAnsi="楷体" w:eastAsia="楷体"/>
          <w:b/>
          <w:sz w:val="32"/>
          <w:szCs w:val="32"/>
        </w:rPr>
        <w:t>3</w:t>
      </w:r>
      <w:r>
        <w:rPr>
          <w:rFonts w:hint="eastAsia" w:ascii="楷体" w:hAnsi="楷体" w:eastAsia="楷体"/>
          <w:b/>
          <w:sz w:val="32"/>
          <w:szCs w:val="32"/>
          <w:lang w:val="en-US" w:eastAsia="zh-CN"/>
        </w:rPr>
        <w:t>.</w:t>
      </w:r>
      <w:r>
        <w:rPr>
          <w:rFonts w:hint="eastAsia" w:ascii="楷体" w:hAnsi="楷体" w:eastAsia="楷体"/>
          <w:b/>
          <w:sz w:val="32"/>
          <w:szCs w:val="32"/>
        </w:rPr>
        <w:t>钢化内部管理体系，提升海事执法形象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铁还需自身硬，为有效推进航务海事各项任务开展，我处持续加强队伍建设力度。一是巩固群众路线教育实践活动成果，改进我处工作作风，倾情服务群众。二是落实党风廉政建设工作要求，查找岗位风险点，制定预防措施。三是严格执行“三化”队伍建设要求，培养职工勤于学习、敢于服务、勇担责任、努力创新的意识，倾力打造一只过硬航务海事队伍。四是加强行政权力公开运行平台规范运行力度，落实依法行政思维，规范行政执法行为。五是修订内部管理、执法工作制度，加强考核、督查力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firstLineChars="200"/>
        <w:textAlignment w:val="auto"/>
        <w:rPr>
          <w:rFonts w:hint="eastAsia" w:ascii="仿宋" w:hAnsi="仿宋" w:eastAsia="仿宋"/>
          <w:sz w:val="32"/>
          <w:szCs w:val="32"/>
        </w:rPr>
      </w:pPr>
      <w:r>
        <w:rPr>
          <w:rFonts w:hint="eastAsia" w:ascii="楷体" w:hAnsi="楷体" w:eastAsia="楷体"/>
          <w:b/>
          <w:sz w:val="32"/>
          <w:szCs w:val="32"/>
          <w:lang w:val="en-US" w:eastAsia="zh-CN"/>
        </w:rPr>
        <w:t>4.</w:t>
      </w:r>
      <w:r>
        <w:rPr>
          <w:rFonts w:hint="eastAsia" w:ascii="楷体" w:hAnsi="楷体" w:eastAsia="楷体"/>
          <w:b/>
          <w:sz w:val="32"/>
          <w:szCs w:val="32"/>
        </w:rPr>
        <w:t>倾情投身扶贫帮扶，结对帮扶成效显著</w:t>
      </w:r>
    </w:p>
    <w:p>
      <w:pPr>
        <w:numPr>
          <w:ilvl w:val="0"/>
          <w:numId w:val="0"/>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今年继续帮扶正真镇印合村，按照上级部门要求选派海事处精干力量参加驻村工作队；海事处全体干部职工积极参与扶贫工作，确保印合村实现</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年脱贫目标</w:t>
      </w:r>
      <w:r>
        <w:rPr>
          <w:rFonts w:hint="eastAsia" w:ascii="仿宋_GB2312" w:hAnsi="仿宋_GB2312" w:eastAsia="仿宋_GB2312" w:cs="仿宋_GB2312"/>
          <w:sz w:val="32"/>
          <w:szCs w:val="32"/>
          <w:lang w:eastAsia="zh-CN"/>
        </w:rPr>
        <w:t>。</w:t>
      </w:r>
    </w:p>
    <w:p>
      <w:pPr>
        <w:spacing w:line="520" w:lineRule="exact"/>
        <w:ind w:left="-6" w:leftChars="-3" w:firstLine="642" w:firstLineChars="200"/>
        <w:rPr>
          <w:rFonts w:hint="eastAsia" w:ascii="楷体" w:hAnsi="楷体" w:eastAsia="楷体"/>
          <w:b/>
          <w:sz w:val="32"/>
          <w:szCs w:val="32"/>
        </w:rPr>
      </w:pPr>
      <w:r>
        <w:rPr>
          <w:rFonts w:hint="eastAsia" w:ascii="楷体" w:hAnsi="楷体" w:eastAsia="楷体"/>
          <w:b/>
          <w:sz w:val="32"/>
          <w:szCs w:val="32"/>
        </w:rPr>
        <w:t>5</w:t>
      </w:r>
      <w:r>
        <w:rPr>
          <w:rFonts w:hint="eastAsia" w:ascii="楷体" w:hAnsi="楷体" w:eastAsia="楷体"/>
          <w:b/>
          <w:sz w:val="32"/>
          <w:szCs w:val="32"/>
          <w:lang w:val="en-US" w:eastAsia="zh-CN"/>
        </w:rPr>
        <w:t>.</w:t>
      </w:r>
      <w:r>
        <w:rPr>
          <w:rFonts w:hint="eastAsia" w:ascii="楷体" w:hAnsi="楷体" w:eastAsia="楷体"/>
          <w:b/>
          <w:sz w:val="32"/>
          <w:szCs w:val="32"/>
        </w:rPr>
        <w:t>认真落实“河长制”工作任务，搞好河道水域环境</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在2018年的基础上梳理完善了2019年神潭河环境保护“四项清单”整改落实责任。在履行河（湖）长制联系单位工作期间，编制、落实责任河道年度工作“四项清单”真实准确，共梳理问题清单14个，</w:t>
      </w:r>
      <w:bookmarkStart w:id="71" w:name="_GoBack"/>
      <w:bookmarkEnd w:id="71"/>
      <w:r>
        <w:rPr>
          <w:rFonts w:hint="eastAsia" w:ascii="仿宋_GB2312" w:hAnsi="仿宋_GB2312" w:eastAsia="仿宋_GB2312" w:cs="仿宋_GB2312"/>
          <w:sz w:val="32"/>
          <w:szCs w:val="32"/>
          <w:lang w:eastAsia="zh-CN"/>
        </w:rPr>
        <w:t>截至目前</w:t>
      </w:r>
      <w:r>
        <w:rPr>
          <w:rFonts w:hint="eastAsia" w:ascii="仿宋_GB2312" w:hAnsi="仿宋_GB2312" w:eastAsia="仿宋_GB2312" w:cs="仿宋_GB2312"/>
          <w:sz w:val="32"/>
          <w:szCs w:val="32"/>
        </w:rPr>
        <w:t>督促完成任务7个，有序推进整治7个（多为乡镇污水处理站建设），按时、按质完成了巡河日常工作内容。</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 w:hAnsi="仿宋" w:eastAsia="仿宋"/>
          <w:color w:val="000000"/>
          <w:kern w:val="0"/>
          <w:sz w:val="32"/>
          <w:szCs w:val="32"/>
        </w:rPr>
      </w:pPr>
      <w:r>
        <w:rPr>
          <w:rFonts w:hint="eastAsia" w:ascii="仿宋_GB2312" w:hAnsi="Times New Roman" w:eastAsia="仿宋_GB2312"/>
          <w:bCs/>
          <w:color w:val="000000"/>
          <w:kern w:val="0"/>
          <w:sz w:val="32"/>
          <w:szCs w:val="32"/>
          <w:lang w:val="en-US" w:eastAsia="zh-CN" w:bidi="ar-SA"/>
        </w:rPr>
        <w:t>南江县地方海事处系县交通运输局下属单位，为参照公务员法管理的事业单位，自2016年起单独实施预算。</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152.03</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1.19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0.77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厉行勤俭节约。</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_GB2312" w:eastAsia="仿宋_GB2312"/>
          <w:color w:val="000000"/>
          <w:sz w:val="32"/>
          <w:szCs w:val="32"/>
          <w:lang w:eastAsia="zh-CN"/>
        </w:rPr>
        <w:drawing>
          <wp:anchor distT="0" distB="0" distL="114300" distR="114300" simplePos="0" relativeHeight="251659264" behindDoc="0" locked="0" layoutInCell="1" allowOverlap="1">
            <wp:simplePos x="0" y="0"/>
            <wp:positionH relativeFrom="column">
              <wp:posOffset>320675</wp:posOffset>
            </wp:positionH>
            <wp:positionV relativeFrom="paragraph">
              <wp:posOffset>53975</wp:posOffset>
            </wp:positionV>
            <wp:extent cx="4499610" cy="2780665"/>
            <wp:effectExtent l="4445" t="4445" r="10795" b="1524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152.03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152.03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lang w:eastAsia="zh-CN"/>
        </w:rPr>
        <w:drawing>
          <wp:anchor distT="0" distB="0" distL="114300" distR="114300" simplePos="0" relativeHeight="251660288" behindDoc="0" locked="0" layoutInCell="1" allowOverlap="1">
            <wp:simplePos x="0" y="0"/>
            <wp:positionH relativeFrom="column">
              <wp:posOffset>410845</wp:posOffset>
            </wp:positionH>
            <wp:positionV relativeFrom="paragraph">
              <wp:posOffset>-2795905</wp:posOffset>
            </wp:positionV>
            <wp:extent cx="4369435" cy="3497580"/>
            <wp:effectExtent l="4445" t="4445" r="7620" b="2222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152.03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138.05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13.98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r>
        <w:rPr>
          <w:rFonts w:hint="eastAsia" w:ascii="仿宋_GB2312" w:eastAsia="仿宋_GB2312"/>
          <w:color w:val="FF0000"/>
          <w:sz w:val="32"/>
          <w:szCs w:val="32"/>
          <w:lang w:eastAsia="zh-CN"/>
        </w:rPr>
        <w:drawing>
          <wp:anchor distT="0" distB="0" distL="114300" distR="114300" simplePos="0" relativeHeight="251663360" behindDoc="0" locked="0" layoutInCell="1" allowOverlap="1">
            <wp:simplePos x="0" y="0"/>
            <wp:positionH relativeFrom="column">
              <wp:posOffset>324485</wp:posOffset>
            </wp:positionH>
            <wp:positionV relativeFrom="paragraph">
              <wp:posOffset>136525</wp:posOffset>
            </wp:positionV>
            <wp:extent cx="4369435" cy="2987675"/>
            <wp:effectExtent l="4445" t="4445" r="7620" b="1778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outlineLvl w:val="1"/>
        <w:rPr>
          <w:rFonts w:hint="eastAsia" w:ascii="黑体" w:hAnsi="黑体" w:eastAsia="黑体"/>
          <w:color w:val="000000"/>
          <w:sz w:val="32"/>
          <w:szCs w:val="32"/>
        </w:rPr>
      </w:pPr>
      <w:bookmarkStart w:id="30" w:name="_Toc15396606"/>
      <w:bookmarkStart w:id="31" w:name="_Toc15377208"/>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152.03</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1.19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0.77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厉行勤俭节约。</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lang w:eastAsia="zh-CN"/>
        </w:rPr>
        <w:drawing>
          <wp:anchor distT="0" distB="0" distL="114300" distR="114300" simplePos="0" relativeHeight="251669504" behindDoc="0" locked="0" layoutInCell="1" allowOverlap="1">
            <wp:simplePos x="0" y="0"/>
            <wp:positionH relativeFrom="column">
              <wp:posOffset>450215</wp:posOffset>
            </wp:positionH>
            <wp:positionV relativeFrom="paragraph">
              <wp:posOffset>133350</wp:posOffset>
            </wp:positionV>
            <wp:extent cx="4542790" cy="2529205"/>
            <wp:effectExtent l="4445" t="4445" r="5715" b="190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152.03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1.19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0.77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厉行勤俭节约。</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74624" behindDoc="0" locked="0" layoutInCell="1" allowOverlap="1">
            <wp:simplePos x="0" y="0"/>
            <wp:positionH relativeFrom="column">
              <wp:posOffset>247015</wp:posOffset>
            </wp:positionH>
            <wp:positionV relativeFrom="paragraph">
              <wp:posOffset>259080</wp:posOffset>
            </wp:positionV>
            <wp:extent cx="5080000" cy="1595755"/>
            <wp:effectExtent l="4445" t="4445" r="20955" b="1905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152.03</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10.16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6.68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；卫生</w:t>
      </w:r>
      <w:r>
        <w:rPr>
          <w:rFonts w:hint="eastAsia" w:ascii="仿宋" w:hAnsi="仿宋" w:eastAsia="仿宋"/>
          <w:color w:val="000000" w:themeColor="text1"/>
          <w:sz w:val="32"/>
          <w:szCs w:val="32"/>
          <w:lang w:eastAsia="zh-CN"/>
          <w14:textFill>
            <w14:solidFill>
              <w14:schemeClr w14:val="tx1"/>
            </w14:solidFill>
          </w14:textFill>
        </w:rPr>
        <w:t>健康</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6.16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交通运输支出</w:t>
      </w:r>
      <w:r>
        <w:rPr>
          <w:rFonts w:hint="eastAsia" w:ascii="仿宋" w:hAnsi="仿宋" w:eastAsia="仿宋"/>
          <w:color w:val="000000" w:themeColor="text1"/>
          <w:sz w:val="32"/>
          <w:szCs w:val="32"/>
          <w:lang w:val="en-US" w:eastAsia="zh-CN"/>
          <w14:textFill>
            <w14:solidFill>
              <w14:schemeClr w14:val="tx1"/>
            </w14:solidFill>
          </w14:textFill>
        </w:rPr>
        <w:t>129.11万元，占84.92%；</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6.6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4.35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75648" behindDoc="0" locked="0" layoutInCell="1" allowOverlap="1">
            <wp:simplePos x="0" y="0"/>
            <wp:positionH relativeFrom="column">
              <wp:posOffset>475615</wp:posOffset>
            </wp:positionH>
            <wp:positionV relativeFrom="paragraph">
              <wp:posOffset>-57150</wp:posOffset>
            </wp:positionV>
            <wp:extent cx="4361815" cy="2945130"/>
            <wp:effectExtent l="0" t="0" r="635" b="4572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152.03</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9.64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社会保障和就业（类）财政对其他社会保险基金的补助（款）财政对失业保险基金的补助（项）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0.07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社会保障和就业（类）财政对其他社会保险基金的补助（款）财政对工伤保险基金的补助（项）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0.05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社会保障和就业（类）财政对其他社会保险基金的补助（款）财政对</w:t>
      </w:r>
      <w:r>
        <w:rPr>
          <w:rStyle w:val="14"/>
          <w:rFonts w:hint="eastAsia" w:ascii="仿宋" w:hAnsi="仿宋" w:eastAsia="仿宋"/>
          <w:bCs/>
          <w:color w:val="000000"/>
          <w:sz w:val="32"/>
          <w:szCs w:val="32"/>
          <w:lang w:eastAsia="zh-CN"/>
        </w:rPr>
        <w:t>生育</w:t>
      </w:r>
      <w:r>
        <w:rPr>
          <w:rStyle w:val="14"/>
          <w:rFonts w:hint="eastAsia" w:ascii="仿宋" w:hAnsi="仿宋" w:eastAsia="仿宋"/>
          <w:bCs/>
          <w:color w:val="000000"/>
          <w:sz w:val="32"/>
          <w:szCs w:val="32"/>
        </w:rPr>
        <w:t>保险基金的补助（项）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卫生</w:t>
      </w:r>
      <w:r>
        <w:rPr>
          <w:rStyle w:val="14"/>
          <w:rFonts w:hint="eastAsia" w:ascii="仿宋" w:hAnsi="仿宋" w:eastAsia="仿宋"/>
          <w:bCs/>
          <w:color w:val="000000"/>
          <w:sz w:val="32"/>
          <w:szCs w:val="32"/>
          <w:lang w:eastAsia="zh-CN"/>
        </w:rPr>
        <w:t>健康</w:t>
      </w:r>
      <w:r>
        <w:rPr>
          <w:rStyle w:val="14"/>
          <w:rFonts w:hint="eastAsia" w:ascii="仿宋" w:hAnsi="仿宋" w:eastAsia="仿宋"/>
          <w:bCs/>
          <w:color w:val="000000"/>
          <w:sz w:val="32"/>
          <w:szCs w:val="32"/>
        </w:rPr>
        <w:t>（类）行政事业单位医疗（款）行政单位医疗（项）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5.05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卫生</w:t>
      </w:r>
      <w:r>
        <w:rPr>
          <w:rStyle w:val="14"/>
          <w:rFonts w:hint="eastAsia" w:ascii="仿宋" w:hAnsi="仿宋" w:eastAsia="仿宋"/>
          <w:bCs/>
          <w:color w:val="000000"/>
          <w:sz w:val="32"/>
          <w:szCs w:val="32"/>
          <w:lang w:eastAsia="zh-CN"/>
        </w:rPr>
        <w:t>健康</w:t>
      </w:r>
      <w:r>
        <w:rPr>
          <w:rStyle w:val="14"/>
          <w:rFonts w:hint="eastAsia" w:ascii="仿宋" w:hAnsi="仿宋" w:eastAsia="仿宋"/>
          <w:bCs/>
          <w:color w:val="000000"/>
          <w:sz w:val="32"/>
          <w:szCs w:val="32"/>
        </w:rPr>
        <w:t>（类）行政事业单位医疗（款）公务员医疗补助（项）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eastAsia="zh-CN"/>
        </w:rPr>
        <w:t>交通运输</w:t>
      </w:r>
      <w:r>
        <w:rPr>
          <w:rStyle w:val="14"/>
          <w:rFonts w:hint="eastAsia" w:ascii="仿宋" w:hAnsi="仿宋" w:eastAsia="仿宋"/>
          <w:bCs/>
          <w:color w:val="000000"/>
          <w:sz w:val="32"/>
          <w:szCs w:val="32"/>
        </w:rPr>
        <w:t>（类）公路水路运输（款）海事管理（项）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124.92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lang w:eastAsia="zh-CN"/>
        </w:rPr>
        <w:t>交通运输</w:t>
      </w:r>
      <w:r>
        <w:rPr>
          <w:rStyle w:val="14"/>
          <w:rFonts w:hint="eastAsia" w:ascii="仿宋" w:hAnsi="仿宋" w:eastAsia="仿宋"/>
          <w:bCs/>
          <w:color w:val="000000"/>
          <w:sz w:val="32"/>
          <w:szCs w:val="32"/>
        </w:rPr>
        <w:t>（类）成品油价格改革对交通运输的补贴（款）成品油价格改革补贴其他支出（项）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4.19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eastAsia="zh-CN"/>
        </w:rPr>
        <w:t>住房保障</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138.05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117.61</w:t>
      </w:r>
      <w:r>
        <w:rPr>
          <w:rFonts w:hint="eastAsia" w:ascii="仿宋" w:hAnsi="仿宋" w:eastAsia="仿宋"/>
          <w:color w:val="000000"/>
          <w:sz w:val="32"/>
          <w:szCs w:val="32"/>
        </w:rPr>
        <w:t>万元，主要包括：基本工资、津贴补贴、奖金、机关事业单位基本养老保险缴费、职工基本医疗保险缴费</w:t>
      </w:r>
      <w:r>
        <w:rPr>
          <w:rFonts w:hint="eastAsia" w:ascii="仿宋" w:hAnsi="仿宋" w:eastAsia="仿宋"/>
          <w:color w:val="000000"/>
          <w:sz w:val="32"/>
          <w:szCs w:val="32"/>
          <w:lang w:eastAsia="zh-CN"/>
        </w:rPr>
        <w:t>、公务员医疗补助缴费、</w:t>
      </w:r>
      <w:r>
        <w:rPr>
          <w:rFonts w:hint="eastAsia" w:ascii="仿宋" w:hAnsi="仿宋" w:eastAsia="仿宋"/>
          <w:color w:val="000000"/>
          <w:sz w:val="32"/>
          <w:szCs w:val="32"/>
        </w:rPr>
        <w:t>其他社会保障缴费、住房公积金。</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20.44</w:t>
      </w:r>
      <w:r>
        <w:rPr>
          <w:rFonts w:hint="eastAsia" w:ascii="仿宋" w:hAnsi="仿宋" w:eastAsia="仿宋"/>
          <w:color w:val="000000"/>
          <w:sz w:val="32"/>
          <w:szCs w:val="32"/>
        </w:rPr>
        <w:t>万元，主要包括：办公费、印刷费、差旅费、会议费、培训费、公务接待费、工会经费、福利费、公务用车运行维护费、其他交通费</w:t>
      </w:r>
      <w:r>
        <w:rPr>
          <w:rFonts w:hint="eastAsia" w:ascii="仿宋" w:hAnsi="仿宋" w:eastAsia="仿宋"/>
          <w:color w:val="000000"/>
          <w:sz w:val="32"/>
          <w:szCs w:val="32"/>
          <w:lang w:eastAsia="zh-CN"/>
        </w:rPr>
        <w:t>用</w:t>
      </w:r>
      <w:r>
        <w:rPr>
          <w:rFonts w:hint="eastAsia" w:ascii="仿宋" w:hAnsi="仿宋" w:eastAsia="仿宋"/>
          <w:color w:val="000000"/>
          <w:sz w:val="32"/>
          <w:szCs w:val="32"/>
        </w:rPr>
        <w:t>、</w:t>
      </w:r>
      <w:r>
        <w:rPr>
          <w:rFonts w:hint="eastAsia" w:ascii="仿宋" w:hAnsi="仿宋" w:eastAsia="仿宋"/>
          <w:color w:val="000000"/>
          <w:sz w:val="32"/>
          <w:szCs w:val="32"/>
          <w:lang w:eastAsia="zh-CN"/>
        </w:rPr>
        <w:t>其他商品和服务支出</w:t>
      </w:r>
      <w:r>
        <w:rPr>
          <w:rFonts w:hint="eastAsia" w:ascii="仿宋" w:hAnsi="仿宋" w:eastAsia="仿宋"/>
          <w:color w:val="000000"/>
          <w:sz w:val="32"/>
          <w:szCs w:val="32"/>
        </w:rPr>
        <w:t>。</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3.09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81.32</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w:t>
      </w:r>
      <w:r>
        <w:rPr>
          <w:rFonts w:hint="eastAsia" w:ascii="仿宋" w:hAnsi="仿宋" w:eastAsia="仿宋"/>
          <w:color w:val="000000"/>
          <w:sz w:val="32"/>
          <w:szCs w:val="32"/>
          <w:lang w:eastAsia="zh-CN"/>
        </w:rPr>
        <w:t>是厉行勤俭节约，减少不必要的公务接待</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2.97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96.12</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3.88</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76672" behindDoc="0" locked="0" layoutInCell="1" allowOverlap="1">
            <wp:simplePos x="0" y="0"/>
            <wp:positionH relativeFrom="column">
              <wp:posOffset>411480</wp:posOffset>
            </wp:positionH>
            <wp:positionV relativeFrom="paragraph">
              <wp:posOffset>-1976755</wp:posOffset>
            </wp:positionV>
            <wp:extent cx="4786630" cy="2259965"/>
            <wp:effectExtent l="5080" t="4445" r="8890" b="2159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2.97</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99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厉行勤俭节约</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2.99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海事执法车</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0.12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0.43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78.18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厉行勤俭节约，减少不必要的公务接待</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主要用于执行公务、开展业务活动开支的用餐费。国内公务接待</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0.12</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接待省航务局聘请的第三方机构开展水运基础设施建设项目内部审计调查开支</w:t>
      </w:r>
      <w:r>
        <w:rPr>
          <w:rFonts w:hint="eastAsia" w:ascii="仿宋_GB2312" w:eastAsia="仿宋_GB2312"/>
          <w:color w:val="000000"/>
          <w:sz w:val="32"/>
          <w:szCs w:val="32"/>
          <w:lang w:val="en-US" w:eastAsia="zh-CN"/>
        </w:rPr>
        <w:t>0.1万元；接待市航务局开展春运工作及安全生产检查开支0.02万元</w:t>
      </w:r>
      <w:r>
        <w:rPr>
          <w:rFonts w:hint="eastAsia" w:ascii="仿宋_GB2312" w:eastAsia="仿宋_GB2312"/>
          <w:color w:val="000000"/>
          <w:sz w:val="32"/>
          <w:szCs w:val="32"/>
        </w:rPr>
        <w:t>。其中：</w:t>
      </w:r>
    </w:p>
    <w:p>
      <w:pPr>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hint="eastAsia" w:ascii="仿宋_GB2312" w:eastAsia="仿宋_GB2312"/>
          <w:color w:val="000000"/>
          <w:sz w:val="32"/>
          <w:szCs w:val="32"/>
          <w:lang w:val="en-US" w:eastAsia="zh-CN"/>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根据预算绩效管理要求，本单位在年初预算编制阶段，组织对海事巡逻艇运行维护费项目开展了预算事前绩效评估，对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本部门按要求对2019年部门整体支出开展绩效自评，从评价情况来看：2019年按规定准确编制预算、制定绩效目标、年内严格控制支出、根据实际情况进行预算动态调整、按绩效目标执行进度、年终100%执行预算、完成了目标，无违规记录。本单位在2019年按单位职能及时有效完成各项工作任务。</w:t>
      </w:r>
    </w:p>
    <w:p>
      <w:pPr>
        <w:numPr>
          <w:ilvl w:val="0"/>
          <w:numId w:val="4"/>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在2019年度部门决算中反映“海事巡逻艇运行维护费项目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个项目绩效目标实际完成情况。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海事巡逻艇运行维护费项目绩效目标完成情况综述。项目全年预算数</w:t>
      </w:r>
      <w:r>
        <w:rPr>
          <w:rFonts w:hint="eastAsia" w:ascii="仿宋_GB2312" w:hAnsi="仿宋_GB2312" w:eastAsia="仿宋_GB2312" w:cs="仿宋_GB2312"/>
          <w:sz w:val="32"/>
          <w:szCs w:val="32"/>
          <w:lang w:val="en-US" w:eastAsia="zh-CN"/>
        </w:rPr>
        <w:t>9.025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9.025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%。通过项目实施，保障保障县域内水上运输安全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进一步保障人民群众出行时的人身、财产安全。</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海事巡逻艇运行维护费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南江县地方海事处</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9.025万元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9.025万元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9.025万元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保障我处海巡艇运行的正常运转</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w:t>
            </w:r>
            <w:r>
              <w:rPr>
                <w:rFonts w:hint="eastAsia" w:ascii="宋体" w:hAnsi="宋体" w:cs="宋体"/>
                <w:color w:val="000000"/>
                <w:sz w:val="24"/>
                <w:lang w:eastAsia="zh-CN"/>
              </w:rPr>
              <w:t>了</w:t>
            </w:r>
            <w:r>
              <w:rPr>
                <w:rFonts w:hint="eastAsia" w:ascii="宋体" w:hAnsi="宋体" w:cs="宋体"/>
                <w:color w:val="000000"/>
                <w:sz w:val="24"/>
              </w:rPr>
              <w:t>县域内水上运输安全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检查频次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每月至少水上巡逻</w:t>
            </w:r>
            <w:r>
              <w:rPr>
                <w:rFonts w:hint="eastAsia" w:ascii="宋体" w:hAnsi="宋体" w:cs="宋体"/>
                <w:color w:val="000000"/>
                <w:sz w:val="24"/>
                <w:lang w:val="en-US" w:eastAsia="zh-CN"/>
              </w:rPr>
              <w:t>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水上巡逻次数达70余次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项目实际支出是否控制在预算内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严格控制预算成本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各项费用控制在预算内支出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维护了水上道路运输市场的秩序与稳定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保障县域内水上运输安全；净化了水上运输客运市场环境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进一步保障人民群众出行时的人身、财产安全</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2"/>
                <w:sz w:val="24"/>
                <w:szCs w:val="24"/>
              </w:rPr>
              <w:t>提高群众</w:t>
            </w:r>
            <w:r>
              <w:rPr>
                <w:rFonts w:hint="eastAsia" w:ascii="宋体" w:hAnsi="宋体" w:cs="宋体"/>
                <w:color w:val="000000"/>
                <w:kern w:val="2"/>
                <w:sz w:val="24"/>
                <w:szCs w:val="24"/>
                <w:lang w:eastAsia="zh-CN"/>
              </w:rPr>
              <w:t>水上</w:t>
            </w:r>
            <w:r>
              <w:rPr>
                <w:rFonts w:hint="eastAsia" w:ascii="宋体" w:hAnsi="宋体" w:eastAsia="宋体" w:cs="宋体"/>
                <w:color w:val="000000"/>
                <w:kern w:val="2"/>
                <w:sz w:val="24"/>
                <w:szCs w:val="24"/>
              </w:rPr>
              <w:t>出行安全，便利、满意，保障人民生命财产安全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2"/>
                <w:sz w:val="24"/>
                <w:szCs w:val="24"/>
                <w:lang w:eastAsia="zh-CN"/>
              </w:rPr>
              <w:t>加强水上安全执法监管，使群众满意度达</w:t>
            </w:r>
            <w:r>
              <w:rPr>
                <w:rFonts w:hint="eastAsia" w:ascii="宋体" w:hAnsi="宋体" w:cs="宋体"/>
                <w:color w:val="000000"/>
                <w:kern w:val="2"/>
                <w:sz w:val="24"/>
                <w:szCs w:val="24"/>
                <w:lang w:val="en-US" w:eastAsia="zh-CN"/>
              </w:rPr>
              <w:t>95%以上</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按要求对2019年部门整体支出绩效评价情况开展自评，《</w:t>
      </w:r>
      <w:r>
        <w:rPr>
          <w:rFonts w:hint="eastAsia" w:ascii="仿宋_GB2312" w:hAnsi="仿宋_GB2312" w:eastAsia="仿宋_GB2312" w:cs="仿宋_GB2312"/>
          <w:sz w:val="32"/>
          <w:szCs w:val="32"/>
          <w:lang w:eastAsia="zh-CN"/>
        </w:rPr>
        <w:t>南江县地方海事处</w:t>
      </w:r>
      <w:r>
        <w:rPr>
          <w:rFonts w:hint="eastAsia" w:ascii="仿宋_GB2312" w:hAnsi="仿宋_GB2312" w:eastAsia="仿宋_GB2312" w:cs="仿宋_GB2312"/>
          <w:sz w:val="32"/>
          <w:szCs w:val="32"/>
        </w:rPr>
        <w:t>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自行组织对海事巡逻艇运行维护费项目开展了绩效评价，《2019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海事巡逻艇运行维护费项目绩效评价报告》见附件。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海事处</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20.44</w:t>
      </w:r>
      <w:r>
        <w:rPr>
          <w:rFonts w:hint="eastAsia" w:ascii="仿宋_GB2312" w:eastAsia="仿宋_GB2312"/>
          <w:color w:val="000000"/>
          <w:sz w:val="32"/>
          <w:szCs w:val="32"/>
        </w:rPr>
        <w:t>万元，比</w:t>
      </w: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13.84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40.37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单位在职人员的调动减少。</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海事处</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海事处</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辆，其中一般执法执勤用车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2" w:firstLineChars="200"/>
        <w:rPr>
          <w:rFonts w:ascii="仿宋_GB2312" w:eastAsia="仿宋_GB2312"/>
          <w:b/>
          <w:color w:val="000000"/>
          <w:sz w:val="32"/>
          <w:szCs w:val="32"/>
        </w:rPr>
      </w:pPr>
    </w:p>
    <w:p>
      <w:pPr>
        <w:widowControl/>
        <w:jc w:val="left"/>
        <w:rPr>
          <w:rStyle w:val="24"/>
          <w:rFonts w:ascii="黑体" w:hAnsi="黑体" w:eastAsia="黑体"/>
          <w:b w:val="0"/>
        </w:rPr>
      </w:pPr>
      <w:r>
        <w:rPr>
          <w:rFonts w:ascii="仿宋_GB2312" w:eastAsia="仿宋_GB2312"/>
          <w:b/>
          <w:color w:val="000000"/>
          <w:sz w:val="32"/>
          <w:szCs w:val="32"/>
        </w:rPr>
        <w:br w:type="page"/>
      </w: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000000"/>
          <w:sz w:val="44"/>
          <w:szCs w:val="44"/>
        </w:rPr>
      </w:pPr>
      <w:bookmarkStart w:id="57" w:name="_Toc15396614"/>
      <w:bookmarkStart w:id="58" w:name="_Toc15377226"/>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w w:val="90"/>
          <w:sz w:val="36"/>
          <w:szCs w:val="36"/>
        </w:rPr>
      </w:pPr>
      <w:bookmarkStart w:id="60" w:name="_Toc15396616"/>
      <w:r>
        <w:rPr>
          <w:rFonts w:hint="eastAsia" w:ascii="黑体" w:hAnsi="黑体" w:eastAsia="黑体" w:cs="方正小标宋简体"/>
          <w:w w:val="90"/>
          <w:sz w:val="36"/>
          <w:szCs w:val="36"/>
          <w:lang w:eastAsia="zh-CN"/>
        </w:rPr>
        <w:t>南江县地方海事处</w:t>
      </w:r>
      <w:r>
        <w:rPr>
          <w:rFonts w:hint="eastAsia" w:ascii="黑体" w:hAnsi="黑体" w:eastAsia="黑体" w:cs="方正小标宋简体"/>
          <w:w w:val="90"/>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lang w:val="en-US" w:eastAsia="zh-CN"/>
        </w:rPr>
        <w:t>南江县地方海事处设3个内设机构，分别为综合办公室，航务股，海事股。</w:t>
      </w: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1.负责宣传、贯彻和执行水路交通管理的法律法规、方针政策，依法履行法定职责，按照法律法规授权和县交通运输局委托，承担辖区内水路交通管理、行政执法工作。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2.制定本辖区水上交通安全工作发展规划和年度安全管理工作计划，布置和实施季节安全管理工作和特殊时期安全管理工作。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3.负责辖区水上交通安全监管巡（检）查，强化港监航务管理，加强安全隐患的排查和治理，查处违法行为，维护良好安全交通秩序。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4.贯彻落实辖区水上交通安全应急机制，发生险情时积极组织力量救助，及时向政府和上级主管部门报告，负责险情的应急响应。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5.负责水上交通防汛减灾、应急处突、汛情传递以及水上交通事故调查处理。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6.负责辖区水路运输运政管理，加强水运市场整治。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7.加强从业人员的安全教育和学习培训，督促指导各涉船乡镇、管委会开展水上交通安全管理。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8.宣传贯彻船舶检验法律法规，负责辖区船舶检验、法制、水运科技、行政审批和行政执法工作。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9.负责通航水域水上水下施工作业行政许可，受理航道、航标等异常情况的报告，发布航行警告，抄告航道管理部门。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10.负责渡口设置或者撤销审批前的审查工作。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11.承办县人民政府及上级主管部门交办的其他工作。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_GB2312" w:eastAsia="仿宋_GB2312"/>
          <w:sz w:val="32"/>
          <w:szCs w:val="32"/>
        </w:rPr>
        <w:t>南江县地方海事处核定参照公务员法管理事业编制12名（含工勤2名），</w:t>
      </w:r>
      <w:r>
        <w:rPr>
          <w:rFonts w:hint="eastAsia" w:ascii="仿宋_GB2312" w:eastAsia="仿宋_GB2312"/>
          <w:sz w:val="32"/>
          <w:szCs w:val="32"/>
          <w:lang w:val="en-US" w:eastAsia="zh-CN"/>
        </w:rPr>
        <w:t>实际在编人数6人。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152.03</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152.03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numPr>
          <w:ilvl w:val="0"/>
          <w:numId w:val="5"/>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olor w:val="000000"/>
          <w:sz w:val="32"/>
          <w:szCs w:val="32"/>
          <w:shd w:val="pct10" w:color="auto" w:fill="FFFFFF"/>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152.03</w:t>
      </w:r>
      <w:r>
        <w:rPr>
          <w:rFonts w:hint="eastAsia" w:ascii="仿宋_GB2312" w:hAnsi="仿宋_GB2312" w:eastAsia="仿宋_GB2312" w:cs="仿宋_GB2312"/>
          <w:color w:val="000000"/>
          <w:sz w:val="32"/>
          <w:szCs w:val="32"/>
        </w:rPr>
        <w:t>元，其中：基本支出</w:t>
      </w:r>
      <w:r>
        <w:rPr>
          <w:rFonts w:hint="eastAsia" w:ascii="仿宋_GB2312" w:hAnsi="仿宋_GB2312" w:eastAsia="仿宋_GB2312" w:cs="仿宋_GB2312"/>
          <w:color w:val="000000"/>
          <w:sz w:val="32"/>
          <w:szCs w:val="32"/>
          <w:lang w:val="en-US" w:eastAsia="zh-CN"/>
        </w:rPr>
        <w:t>152.03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numPr>
          <w:ilvl w:val="0"/>
          <w:numId w:val="0"/>
        </w:numPr>
        <w:spacing w:line="580" w:lineRule="exact"/>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预算管理制度健全：根据财政局的相关政策文件规定以及内控文件的要求，201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处按规定编制</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、制定绩效目标。</w:t>
      </w:r>
      <w:r>
        <w:rPr>
          <w:rFonts w:hint="eastAsia" w:ascii="仿宋_GB2312" w:hAnsi="仿宋_GB2312" w:eastAsia="仿宋_GB2312" w:cs="仿宋_GB2312"/>
          <w:kern w:val="2"/>
          <w:sz w:val="32"/>
          <w:szCs w:val="32"/>
        </w:rPr>
        <w:t>年内严格控制支出、根据实际情况进行预算动态调整、按绩效目标执行进度、年内100%执行预算、完成了目标，无违规记录</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资金使用合规：严格按照资金来源、用途使用资金；资金拨付有完整的审批程序和手续；资金使用无截留、挤占、挪用、虚列支出等情况。严格执行市财政局公务卡管理暂行办法等相关制度；加强资金的使用管理，坚持厉行节约，反对奢侈浪费，按制度办事，确保每一分钱都落到实处，每一环节按程序进行。</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3、预决算信息公开及时：能按规定时间、内容在政府门户网站上公开预决算信息，并做到信息资料真实、准确。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通过加强预算收支管理，不断建立健全内部管理制度，梳理内部管理流程，</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整体支出管理情况得到提升。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本单位在2019年按单位职能及时有效</w:t>
      </w:r>
      <w:r>
        <w:rPr>
          <w:rFonts w:hint="eastAsia" w:ascii="仿宋_GB2312" w:hAnsi="仿宋_GB2312" w:eastAsia="仿宋_GB2312" w:cs="仿宋_GB2312"/>
          <w:kern w:val="2"/>
          <w:sz w:val="32"/>
          <w:szCs w:val="32"/>
          <w:lang w:eastAsia="zh-CN"/>
        </w:rPr>
        <w:t>地</w:t>
      </w:r>
      <w:r>
        <w:rPr>
          <w:rFonts w:hint="eastAsia" w:ascii="仿宋_GB2312" w:hAnsi="仿宋_GB2312" w:eastAsia="仿宋_GB2312" w:cs="仿宋_GB2312"/>
          <w:kern w:val="2"/>
          <w:sz w:val="32"/>
          <w:szCs w:val="32"/>
        </w:rPr>
        <w:t>完成</w:t>
      </w:r>
      <w:r>
        <w:rPr>
          <w:rFonts w:hint="eastAsia" w:ascii="仿宋_GB2312" w:hAnsi="仿宋_GB2312" w:eastAsia="仿宋_GB2312" w:cs="仿宋_GB2312"/>
          <w:kern w:val="2"/>
          <w:sz w:val="32"/>
          <w:szCs w:val="32"/>
          <w:lang w:eastAsia="zh-CN"/>
        </w:rPr>
        <w:t>了</w:t>
      </w:r>
      <w:r>
        <w:rPr>
          <w:rFonts w:hint="eastAsia" w:ascii="仿宋_GB2312" w:hAnsi="仿宋_GB2312" w:eastAsia="仿宋_GB2312" w:cs="仿宋_GB2312"/>
          <w:kern w:val="2"/>
          <w:sz w:val="32"/>
          <w:szCs w:val="32"/>
        </w:rPr>
        <w:t>各项工作任务。</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2019年海事巡逻艇运行维护费项目支出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该项目为我处2019年海事巡逻艇运行维护费，属常年项目。项目实施日期为2019年1月1日至2019年12月31日，预算安排为9.5万元 ，压减一般性项目支出0.475万元，实际拨付9.025万元。根据历年的发展情况，申请此项目能在一定程度上保障我处海巡艇运行的正常运转。符合资金管理办法等相关规定。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通过围绕专项项目支出绩效评价指标体系对项目进行自评，资金使用绩效为“优”</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w:t>
      </w:r>
      <w:r>
        <w:rPr>
          <w:rFonts w:ascii="仿宋" w:hAnsi="仿宋" w:eastAsia="仿宋" w:cs="仿宋_GB2312"/>
          <w:sz w:val="32"/>
          <w:szCs w:val="32"/>
        </w:rPr>
        <w:t>项目决策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
          <w:sz w:val="32"/>
          <w:szCs w:val="32"/>
        </w:rPr>
        <w:t>申报此项目是我处海巡艇正常运转的保障之一。进而能够更加有效地保证我处完成：维护水上交通的秩序与稳定；进一步保障人民群众出行时的人身、财产安全等职责。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ascii="仿宋" w:hAnsi="仿宋" w:eastAsia="仿宋" w:cs="仿宋_GB2312"/>
          <w:sz w:val="32"/>
          <w:szCs w:val="32"/>
        </w:rPr>
        <w:t>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资金计划及到位。2019年我</w:t>
      </w:r>
      <w:r>
        <w:rPr>
          <w:rFonts w:hint="eastAsia" w:ascii="仿宋" w:hAnsi="仿宋" w:eastAsia="仿宋" w:cs="仿宋"/>
          <w:sz w:val="32"/>
          <w:szCs w:val="32"/>
          <w:lang w:eastAsia="zh-CN"/>
        </w:rPr>
        <w:t>处</w:t>
      </w:r>
      <w:r>
        <w:rPr>
          <w:rFonts w:hint="eastAsia" w:ascii="仿宋" w:hAnsi="仿宋" w:eastAsia="仿宋" w:cs="仿宋"/>
          <w:sz w:val="32"/>
          <w:szCs w:val="32"/>
        </w:rPr>
        <w:t>海事巡逻艇运行维护费项目安排资金为9.025万元，由县财政核拨。截止2019年12月31日，由县财政拨入我</w:t>
      </w:r>
      <w:r>
        <w:rPr>
          <w:rFonts w:hint="eastAsia" w:ascii="仿宋" w:hAnsi="仿宋" w:eastAsia="仿宋" w:cs="仿宋"/>
          <w:sz w:val="32"/>
          <w:szCs w:val="32"/>
          <w:lang w:eastAsia="zh-CN"/>
        </w:rPr>
        <w:t>处</w:t>
      </w:r>
      <w:r>
        <w:rPr>
          <w:rFonts w:hint="eastAsia" w:ascii="仿宋" w:hAnsi="仿宋" w:eastAsia="仿宋" w:cs="仿宋"/>
          <w:sz w:val="32"/>
          <w:szCs w:val="32"/>
        </w:rPr>
        <w:t>该项经费共9.025万元，资金到位率100%。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资金使用。该项经费主要用于我处海事巡逻艇人工维护费和维修费，以及加油费等。一定程度上保证了我处海巡艇的正常运转。</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lang w:val="en-US" w:eastAsia="zh-CN"/>
        </w:rPr>
        <w:t>.</w:t>
      </w:r>
      <w:r>
        <w:rPr>
          <w:rFonts w:ascii="仿宋" w:hAnsi="仿宋" w:eastAsia="仿宋" w:cs="仿宋_GB2312"/>
          <w:sz w:val="32"/>
          <w:szCs w:val="32"/>
        </w:rPr>
        <w:t>项目绩效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w:t>
      </w:r>
      <w:r>
        <w:rPr>
          <w:rFonts w:hint="eastAsia" w:ascii="楷体" w:hAnsi="楷体" w:eastAsia="楷体" w:cs="楷体"/>
          <w:b/>
          <w:bCs/>
          <w:sz w:val="32"/>
          <w:szCs w:val="32"/>
        </w:rPr>
        <w:t>目标任务量完成情况。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截止2019年12月31日，该项目实施进度为100%。年度水上巡逻次数达70余次。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）目标质量完成情况。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截止2019年12月31日，该项目实施完成，目标质量完成情况较好。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）目标进度完成情况。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截止2019年12月31日，该项目实施进度为100%。</w:t>
      </w:r>
    </w:p>
    <w:p>
      <w:pPr>
        <w:numPr>
          <w:ilvl w:val="0"/>
          <w:numId w:val="1"/>
        </w:numPr>
        <w:spacing w:line="580" w:lineRule="exact"/>
        <w:ind w:left="1360" w:leftChars="0" w:hanging="720" w:firstLineChars="0"/>
        <w:rPr>
          <w:rFonts w:ascii="仿宋" w:hAnsi="仿宋" w:eastAsia="仿宋" w:cs="仿宋_GB2312"/>
          <w:sz w:val="32"/>
          <w:szCs w:val="32"/>
        </w:rPr>
      </w:pPr>
      <w:r>
        <w:rPr>
          <w:rFonts w:ascii="仿宋" w:hAnsi="仿宋" w:eastAsia="仿宋" w:cs="仿宋_GB2312"/>
          <w:sz w:val="32"/>
          <w:szCs w:val="32"/>
        </w:rPr>
        <w:t>存在主要问题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
          <w:sz w:val="32"/>
          <w:szCs w:val="32"/>
        </w:rPr>
        <w:t>从我处在项目开展过程、结果来看，均完成年初设定的绩效目标值，未发现相关问题</w:t>
      </w:r>
      <w:r>
        <w:rPr>
          <w:rFonts w:hint="eastAsia" w:ascii="仿宋" w:hAnsi="仿宋" w:eastAsia="仿宋" w:cs="仿宋"/>
          <w:sz w:val="32"/>
          <w:szCs w:val="32"/>
          <w:lang w:eastAsia="zh-CN"/>
        </w:rPr>
        <w:t>。</w:t>
      </w:r>
    </w:p>
    <w:p>
      <w:pPr>
        <w:numPr>
          <w:ilvl w:val="0"/>
          <w:numId w:val="1"/>
        </w:numPr>
        <w:spacing w:line="580" w:lineRule="exact"/>
        <w:ind w:left="1360" w:leftChars="0" w:hanging="720" w:firstLineChars="0"/>
        <w:rPr>
          <w:rFonts w:ascii="仿宋" w:hAnsi="仿宋" w:eastAsia="仿宋" w:cs="仿宋_GB2312"/>
          <w:sz w:val="32"/>
          <w:szCs w:val="32"/>
        </w:rPr>
      </w:pPr>
      <w:r>
        <w:rPr>
          <w:rFonts w:ascii="仿宋" w:hAnsi="仿宋" w:eastAsia="仿宋" w:cs="仿宋_GB2312"/>
          <w:sz w:val="32"/>
          <w:szCs w:val="32"/>
        </w:rPr>
        <w:t>相关措施建议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进一步加强督导，确保项目顺利实施。加强海事执法培训，不断提高队伍综合素质，进一步提升</w:t>
      </w:r>
      <w:r>
        <w:rPr>
          <w:rFonts w:hint="eastAsia" w:ascii="仿宋" w:hAnsi="仿宋" w:eastAsia="仿宋" w:cs="仿宋"/>
          <w:sz w:val="32"/>
          <w:szCs w:val="32"/>
          <w:lang w:eastAsia="zh-CN"/>
        </w:rPr>
        <w:t>海事</w:t>
      </w:r>
      <w:r>
        <w:rPr>
          <w:rFonts w:hint="eastAsia" w:ascii="仿宋" w:hAnsi="仿宋" w:eastAsia="仿宋" w:cs="仿宋"/>
          <w:sz w:val="32"/>
          <w:szCs w:val="32"/>
        </w:rPr>
        <w:t>巡逻艇的利用价值。</w:t>
      </w:r>
    </w:p>
    <w:p>
      <w:pPr>
        <w:widowControl w:val="0"/>
        <w:numPr>
          <w:ilvl w:val="0"/>
          <w:numId w:val="0"/>
        </w:numPr>
        <w:spacing w:line="580" w:lineRule="exact"/>
        <w:jc w:val="both"/>
        <w:rPr>
          <w:rFonts w:ascii="仿宋" w:hAnsi="仿宋" w:eastAsia="仿宋" w:cs="仿宋_GB2312"/>
          <w:sz w:val="32"/>
          <w:szCs w:val="32"/>
        </w:rPr>
      </w:pPr>
    </w:p>
    <w:p>
      <w:pPr>
        <w:widowControl w:val="0"/>
        <w:numPr>
          <w:ilvl w:val="0"/>
          <w:numId w:val="0"/>
        </w:numPr>
        <w:spacing w:line="580" w:lineRule="exact"/>
        <w:jc w:val="both"/>
        <w:rPr>
          <w:rFonts w:ascii="仿宋" w:hAnsi="仿宋" w:eastAsia="仿宋" w:cs="仿宋_GB2312"/>
          <w:sz w:val="32"/>
          <w:szCs w:val="32"/>
        </w:rPr>
      </w:pPr>
    </w:p>
    <w:p>
      <w:pPr>
        <w:widowControl w:val="0"/>
        <w:numPr>
          <w:ilvl w:val="0"/>
          <w:numId w:val="0"/>
        </w:numPr>
        <w:spacing w:line="580" w:lineRule="exact"/>
        <w:jc w:val="both"/>
        <w:rPr>
          <w:rFonts w:ascii="仿宋" w:hAnsi="仿宋" w:eastAsia="仿宋" w:cs="仿宋_GB2312"/>
          <w:sz w:val="32"/>
          <w:szCs w:val="32"/>
        </w:rPr>
      </w:pPr>
    </w:p>
    <w:p>
      <w:pPr>
        <w:widowControl w:val="0"/>
        <w:numPr>
          <w:ilvl w:val="0"/>
          <w:numId w:val="0"/>
        </w:numPr>
        <w:spacing w:line="580" w:lineRule="exact"/>
        <w:jc w:val="both"/>
        <w:rPr>
          <w:rFonts w:ascii="仿宋" w:hAnsi="仿宋" w:eastAsia="仿宋" w:cs="仿宋_GB2312"/>
          <w:sz w:val="32"/>
          <w:szCs w:val="32"/>
        </w:rPr>
      </w:pPr>
    </w:p>
    <w:p>
      <w:pPr>
        <w:widowControl w:val="0"/>
        <w:numPr>
          <w:ilvl w:val="0"/>
          <w:numId w:val="0"/>
        </w:numPr>
        <w:spacing w:line="580" w:lineRule="exact"/>
        <w:jc w:val="both"/>
        <w:rPr>
          <w:rFonts w:ascii="仿宋" w:hAnsi="仿宋" w:eastAsia="仿宋" w:cs="仿宋_GB2312"/>
          <w:sz w:val="32"/>
          <w:szCs w:val="32"/>
        </w:rPr>
      </w:pPr>
    </w:p>
    <w:p>
      <w:pPr>
        <w:widowControl w:val="0"/>
        <w:numPr>
          <w:ilvl w:val="0"/>
          <w:numId w:val="0"/>
        </w:numPr>
        <w:spacing w:line="580" w:lineRule="exact"/>
        <w:jc w:val="both"/>
        <w:rPr>
          <w:rFonts w:ascii="仿宋" w:hAnsi="仿宋" w:eastAsia="仿宋" w:cs="仿宋_GB2312"/>
          <w:sz w:val="32"/>
          <w:szCs w:val="32"/>
        </w:rPr>
      </w:pPr>
    </w:p>
    <w:p>
      <w:pPr>
        <w:spacing w:line="600" w:lineRule="exact"/>
        <w:jc w:val="center"/>
        <w:outlineLvl w:val="0"/>
        <w:rPr>
          <w:rStyle w:val="24"/>
          <w:rFonts w:ascii="黑体" w:hAnsi="黑体" w:eastAsia="黑体"/>
          <w:b w:val="0"/>
        </w:rPr>
      </w:pPr>
      <w:bookmarkStart w:id="62"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五、</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6"/>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八、</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ambria">
    <w:panose1 w:val="020408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恅隋嫘豢极楛">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343C424F"/>
    <w:multiLevelType w:val="singleLevel"/>
    <w:tmpl w:val="343C424F"/>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11960"/>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A23E8"/>
    <w:rsid w:val="00FD3CC1"/>
    <w:rsid w:val="00FF1E02"/>
    <w:rsid w:val="00FF30B4"/>
    <w:rsid w:val="01C05833"/>
    <w:rsid w:val="02100317"/>
    <w:rsid w:val="092E3551"/>
    <w:rsid w:val="094A09E0"/>
    <w:rsid w:val="0ACC3ED1"/>
    <w:rsid w:val="0B5961FF"/>
    <w:rsid w:val="0CEE1F1A"/>
    <w:rsid w:val="0E13024C"/>
    <w:rsid w:val="0F5C79B8"/>
    <w:rsid w:val="108C6A79"/>
    <w:rsid w:val="10C055FF"/>
    <w:rsid w:val="16BB723D"/>
    <w:rsid w:val="17370C66"/>
    <w:rsid w:val="22B72211"/>
    <w:rsid w:val="239303D3"/>
    <w:rsid w:val="240371BF"/>
    <w:rsid w:val="24512ABE"/>
    <w:rsid w:val="25180A56"/>
    <w:rsid w:val="27AB5E2B"/>
    <w:rsid w:val="283773F0"/>
    <w:rsid w:val="29844F8B"/>
    <w:rsid w:val="29882554"/>
    <w:rsid w:val="29DD7B1E"/>
    <w:rsid w:val="29FD04D3"/>
    <w:rsid w:val="2C035A1F"/>
    <w:rsid w:val="2D7919CA"/>
    <w:rsid w:val="319F7F4E"/>
    <w:rsid w:val="32C20B62"/>
    <w:rsid w:val="38C40499"/>
    <w:rsid w:val="38DD282D"/>
    <w:rsid w:val="401F2A25"/>
    <w:rsid w:val="421E2787"/>
    <w:rsid w:val="42A000E0"/>
    <w:rsid w:val="508B13FB"/>
    <w:rsid w:val="541B28A7"/>
    <w:rsid w:val="5A4A4394"/>
    <w:rsid w:val="620D738E"/>
    <w:rsid w:val="662B644D"/>
    <w:rsid w:val="6D236DD9"/>
    <w:rsid w:val="6DFB5E8F"/>
    <w:rsid w:val="73A3243C"/>
    <w:rsid w:val="772147BF"/>
    <w:rsid w:val="78871A61"/>
    <w:rsid w:val="790545F1"/>
    <w:rsid w:val="794621FC"/>
    <w:rsid w:val="7B1917DE"/>
    <w:rsid w:val="7FE91C65"/>
    <w:rsid w:val="B7FAA2D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5" Type="http://schemas.microsoft.com/office/2011/relationships/chartColorStyle" Target="colors6.xml"/><Relationship Id="rId4" Type="http://schemas.microsoft.com/office/2011/relationships/chartStyle" Target="style6.xml"/><Relationship Id="rId3" Type="http://schemas.openxmlformats.org/officeDocument/2006/relationships/image" Target="../media/image1.png"/><Relationship Id="rId2" Type="http://schemas.openxmlformats.org/officeDocument/2006/relationships/themeOverride" Target="../theme/themeOverride1.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01845121610288"/>
          <c:y val="0.191583610188261"/>
          <c:w val="0.893961420184512"/>
          <c:h val="0.743831672203765"/>
        </c:manualLayout>
      </c:layout>
      <c:barChart>
        <c:barDir val="col"/>
        <c:grouping val="clustered"/>
        <c:varyColors val="false"/>
        <c:ser>
          <c:idx val="0"/>
          <c:order val="0"/>
          <c:tx>
            <c:strRef>
              <c:f>Sheet1!$B$1</c:f>
              <c:strCache>
                <c:ptCount val="1"/>
                <c:pt idx="0">
                  <c:v>2018年</c:v>
                </c:pt>
              </c:strCache>
            </c:strRef>
          </c:tx>
          <c:spPr>
            <a:solidFill>
              <a:schemeClr val="accent1"/>
            </a:solidFill>
            <a:ln>
              <a:noFill/>
            </a:ln>
            <a:effectLst/>
          </c:spPr>
          <c:invertIfNegative val="false"/>
          <c:dLbls>
            <c:delete val="true"/>
          </c:dLbls>
          <c:cat>
            <c:strRef>
              <c:f>Sheet1!$A$2:$A$3</c:f>
              <c:strCache>
                <c:ptCount val="2"/>
                <c:pt idx="0">
                  <c:v>收入</c:v>
                </c:pt>
                <c:pt idx="1">
                  <c:v>支出</c:v>
                </c:pt>
              </c:strCache>
            </c:strRef>
          </c:cat>
          <c:val>
            <c:numRef>
              <c:f>Sheet1!$B$2:$B$3</c:f>
              <c:numCache>
                <c:formatCode>General</c:formatCode>
                <c:ptCount val="2"/>
                <c:pt idx="0">
                  <c:v>153.22</c:v>
                </c:pt>
                <c:pt idx="1">
                  <c:v>153.22</c:v>
                </c:pt>
              </c:numCache>
            </c:numRef>
          </c:val>
        </c:ser>
        <c:ser>
          <c:idx val="1"/>
          <c:order val="1"/>
          <c:tx>
            <c:strRef>
              <c:f>Sheet1!$C$1</c:f>
              <c:strCache>
                <c:ptCount val="1"/>
                <c:pt idx="0">
                  <c:v>2019年</c:v>
                </c:pt>
              </c:strCache>
            </c:strRef>
          </c:tx>
          <c:spPr>
            <a:solidFill>
              <a:schemeClr val="accent2"/>
            </a:solidFill>
            <a:ln>
              <a:noFill/>
            </a:ln>
            <a:effectLst/>
          </c:spPr>
          <c:invertIfNegative val="false"/>
          <c:dLbls>
            <c:delete val="true"/>
          </c:dLbls>
          <c:cat>
            <c:strRef>
              <c:f>Sheet1!$A$2:$A$3</c:f>
              <c:strCache>
                <c:ptCount val="2"/>
                <c:pt idx="0">
                  <c:v>收入</c:v>
                </c:pt>
                <c:pt idx="1">
                  <c:v>支出</c:v>
                </c:pt>
              </c:strCache>
            </c:strRef>
          </c:cat>
          <c:val>
            <c:numRef>
              <c:f>Sheet1!$C$2:$C$3</c:f>
              <c:numCache>
                <c:formatCode>General</c:formatCode>
                <c:ptCount val="2"/>
                <c:pt idx="0">
                  <c:v>152.03</c:v>
                </c:pt>
                <c:pt idx="1">
                  <c:v>152.03</c:v>
                </c:pt>
              </c:numCache>
            </c:numRef>
          </c:val>
        </c:ser>
        <c:dLbls>
          <c:showLegendKey val="false"/>
          <c:showVal val="false"/>
          <c:showCatName val="false"/>
          <c:showSerName val="false"/>
          <c:showPercent val="false"/>
          <c:showBubbleSize val="false"/>
        </c:dLbls>
        <c:gapWidth val="219"/>
        <c:overlap val="-27"/>
        <c:axId val="564417191"/>
        <c:axId val="80962229"/>
      </c:barChart>
      <c:catAx>
        <c:axId val="56441719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0962229"/>
        <c:crosses val="autoZero"/>
        <c:auto val="true"/>
        <c:lblAlgn val="ctr"/>
        <c:lblOffset val="100"/>
        <c:noMultiLvlLbl val="false"/>
      </c:catAx>
      <c:valAx>
        <c:axId val="8096222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64417191"/>
        <c:crosses val="autoZero"/>
        <c:crossBetween val="between"/>
      </c:valAx>
      <c:spPr>
        <a:noFill/>
        <a:ln>
          <a:noFill/>
        </a:ln>
        <a:effectLst/>
      </c:spPr>
    </c:plotArea>
    <c:legend>
      <c:legendPos val="b"/>
      <c:layout>
        <c:manualLayout>
          <c:xMode val="edge"/>
          <c:yMode val="edge"/>
          <c:x val="0.38705619233995"/>
          <c:y val="0.89922480620155"/>
          <c:w val="0.261252446183953"/>
          <c:h val="0.079955703211517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金额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Lbls>
            <c:delete val="true"/>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152.03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180787676209853"/>
          <c:y val="0.748910675381264"/>
          <c:w val="0.803371602964685"/>
          <c:h val="0.21986201888162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rgbClr val="FFFF00"/>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金额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138.05</c:v>
                </c:pt>
                <c:pt idx="1">
                  <c:v>13.98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180787676209853"/>
          <c:y val="0.86865037194474"/>
          <c:w val="0.763842464758029"/>
          <c:h val="0.12029755579171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rgbClr val="FFFF00"/>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01845121610288"/>
          <c:y val="0.191583610188261"/>
          <c:w val="0.893961420184512"/>
          <c:h val="0.743831672203765"/>
        </c:manualLayout>
      </c:layout>
      <c:barChart>
        <c:barDir val="col"/>
        <c:grouping val="clustered"/>
        <c:varyColors val="false"/>
        <c:ser>
          <c:idx val="0"/>
          <c:order val="0"/>
          <c:tx>
            <c:strRef>
              <c:f>Sheet1!$B$1</c:f>
              <c:strCache>
                <c:ptCount val="1"/>
                <c:pt idx="0">
                  <c:v>2018年</c:v>
                </c:pt>
              </c:strCache>
            </c:strRef>
          </c:tx>
          <c:spPr>
            <a:solidFill>
              <a:schemeClr val="accent1"/>
            </a:solidFill>
            <a:ln>
              <a:noFill/>
            </a:ln>
            <a:effectLst/>
          </c:spPr>
          <c:invertIfNegative val="false"/>
          <c:dLbls>
            <c:delete val="true"/>
          </c:dLbls>
          <c:cat>
            <c:strRef>
              <c:f>Sheet1!$A$2:$A$3</c:f>
              <c:strCache>
                <c:ptCount val="2"/>
                <c:pt idx="0">
                  <c:v>收入</c:v>
                </c:pt>
                <c:pt idx="1">
                  <c:v>支出</c:v>
                </c:pt>
              </c:strCache>
            </c:strRef>
          </c:cat>
          <c:val>
            <c:numRef>
              <c:f>Sheet1!$B$2:$B$3</c:f>
              <c:numCache>
                <c:formatCode>General</c:formatCode>
                <c:ptCount val="2"/>
                <c:pt idx="0">
                  <c:v>153.22</c:v>
                </c:pt>
                <c:pt idx="1">
                  <c:v>153.22</c:v>
                </c:pt>
              </c:numCache>
            </c:numRef>
          </c:val>
        </c:ser>
        <c:ser>
          <c:idx val="1"/>
          <c:order val="1"/>
          <c:tx>
            <c:strRef>
              <c:f>Sheet1!$C$1</c:f>
              <c:strCache>
                <c:ptCount val="1"/>
                <c:pt idx="0">
                  <c:v>2019年</c:v>
                </c:pt>
              </c:strCache>
            </c:strRef>
          </c:tx>
          <c:spPr>
            <a:solidFill>
              <a:schemeClr val="accent2"/>
            </a:solidFill>
            <a:ln>
              <a:noFill/>
            </a:ln>
            <a:effectLst/>
          </c:spPr>
          <c:invertIfNegative val="false"/>
          <c:dLbls>
            <c:delete val="true"/>
          </c:dLbls>
          <c:cat>
            <c:strRef>
              <c:f>Sheet1!$A$2:$A$3</c:f>
              <c:strCache>
                <c:ptCount val="2"/>
                <c:pt idx="0">
                  <c:v>收入</c:v>
                </c:pt>
                <c:pt idx="1">
                  <c:v>支出</c:v>
                </c:pt>
              </c:strCache>
            </c:strRef>
          </c:cat>
          <c:val>
            <c:numRef>
              <c:f>Sheet1!$C$2:$C$3</c:f>
              <c:numCache>
                <c:formatCode>General</c:formatCode>
                <c:ptCount val="2"/>
                <c:pt idx="0">
                  <c:v>152.03</c:v>
                </c:pt>
                <c:pt idx="1">
                  <c:v>152.03</c:v>
                </c:pt>
              </c:numCache>
            </c:numRef>
          </c:val>
        </c:ser>
        <c:dLbls>
          <c:showLegendKey val="false"/>
          <c:showVal val="false"/>
          <c:showCatName val="false"/>
          <c:showSerName val="false"/>
          <c:showPercent val="false"/>
          <c:showBubbleSize val="false"/>
        </c:dLbls>
        <c:gapWidth val="219"/>
        <c:overlap val="-27"/>
        <c:axId val="564417191"/>
        <c:axId val="80962229"/>
      </c:barChart>
      <c:catAx>
        <c:axId val="56441719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0962229"/>
        <c:crosses val="autoZero"/>
        <c:auto val="true"/>
        <c:lblAlgn val="ctr"/>
        <c:lblOffset val="100"/>
        <c:noMultiLvlLbl val="false"/>
      </c:catAx>
      <c:valAx>
        <c:axId val="8096222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64417191"/>
        <c:crosses val="autoZero"/>
        <c:crossBetween val="between"/>
      </c:valAx>
      <c:spPr>
        <a:noFill/>
        <a:ln>
          <a:noFill/>
        </a:ln>
        <a:effectLst/>
      </c:spPr>
    </c:plotArea>
    <c:legend>
      <c:legendPos val="b"/>
      <c:layout>
        <c:manualLayout>
          <c:xMode val="edge"/>
          <c:yMode val="edge"/>
          <c:x val="0.409910539558289"/>
          <c:y val="0.90836053226211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017"/>
          <c:y val="0.0114155251141553"/>
          <c:w val="0.882425"/>
          <c:h val="0.559893455098935"/>
        </c:manualLayout>
      </c:layout>
      <c:barChart>
        <c:barDir val="col"/>
        <c:grouping val="clustered"/>
        <c:varyColors val="false"/>
        <c:ser>
          <c:idx val="0"/>
          <c:order val="0"/>
          <c:tx>
            <c:strRef>
              <c:f>Sheet1!$B$1</c:f>
              <c:strCache>
                <c:ptCount val="1"/>
                <c:pt idx="0">
                  <c:v>2018年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Sheet1!$B$2</c:f>
              <c:numCache>
                <c:formatCode>General</c:formatCode>
                <c:ptCount val="1"/>
                <c:pt idx="0">
                  <c:v>153.22</c:v>
                </c:pt>
              </c:numCache>
            </c:numRef>
          </c:val>
        </c:ser>
        <c:ser>
          <c:idx val="1"/>
          <c:order val="1"/>
          <c:tx>
            <c:strRef>
              <c:f>Sheet1!$C$1</c:f>
              <c:strCache>
                <c:ptCount val="1"/>
                <c:pt idx="0">
                  <c:v>2019年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Sheet1!$C$2</c:f>
              <c:numCache>
                <c:formatCode>General</c:formatCode>
                <c:ptCount val="1"/>
                <c:pt idx="0">
                  <c:v>152.03</c:v>
                </c:pt>
              </c:numCache>
            </c:numRef>
          </c:val>
        </c:ser>
        <c:dLbls>
          <c:showLegendKey val="false"/>
          <c:showVal val="false"/>
          <c:showCatName val="false"/>
          <c:showSerName val="false"/>
          <c:showPercent val="false"/>
          <c:showBubbleSize val="false"/>
        </c:dLbls>
        <c:gapWidth val="219"/>
        <c:overlap val="-27"/>
        <c:axId val="486248556"/>
        <c:axId val="886637117"/>
      </c:barChart>
      <c:catAx>
        <c:axId val="48624855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86637117"/>
        <c:crosses val="autoZero"/>
        <c:auto val="true"/>
        <c:lblAlgn val="ctr"/>
        <c:lblOffset val="100"/>
        <c:noMultiLvlLbl val="false"/>
      </c:catAx>
      <c:valAx>
        <c:axId val="88663711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86248556"/>
        <c:crosses val="autoZero"/>
        <c:crossBetween val="between"/>
      </c:valAx>
      <c:spPr>
        <a:noFill/>
        <a:ln>
          <a:noFill/>
        </a:ln>
        <a:effectLst/>
      </c:spPr>
    </c:plotArea>
    <c:legend>
      <c:legendPos val="b"/>
      <c:layout>
        <c:manualLayout>
          <c:xMode val="edge"/>
          <c:yMode val="edge"/>
          <c:x val="0.3989375"/>
          <c:y val="0.75228310502283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26465889612255"/>
          <c:y val="0.211675094816688"/>
          <c:w val="0.400959024181846"/>
          <c:h val="0.669068338249754"/>
        </c:manualLayout>
      </c:layout>
      <c:pieChart>
        <c:varyColors val="true"/>
        <c:ser>
          <c:idx val="0"/>
          <c:order val="0"/>
          <c:tx>
            <c:strRef>
              <c:f>Sheet1!$B$1</c:f>
              <c:strCache>
                <c:ptCount val="1"/>
                <c:pt idx="0">
                  <c:v>系列 1</c:v>
                </c:pt>
              </c:strCache>
            </c:strRef>
          </c:tx>
          <c:spPr>
            <a:solidFill>
              <a:srgbClr val="1E2223"/>
            </a:solidFill>
            <a:ln w="19050" cap="rnd" cmpd="sng">
              <a:solidFill>
                <a:schemeClr val="tx1">
                  <a:lumMod val="65000"/>
                  <a:lumOff val="35000"/>
                </a:schemeClr>
              </a:solidFill>
              <a:prstDash val="solid"/>
              <a:round/>
            </a:ln>
            <a:effectLst/>
          </c:spPr>
          <c:explosion val="0"/>
          <c:dPt>
            <c:idx val="0"/>
            <c:bubble3D val="false"/>
            <c:spPr>
              <a:solidFill>
                <a:srgbClr val="FFD588"/>
              </a:solidFill>
              <a:ln w="19050" cap="rnd" cmpd="sng">
                <a:solidFill>
                  <a:schemeClr val="tx1">
                    <a:lumMod val="65000"/>
                    <a:lumOff val="35000"/>
                  </a:schemeClr>
                </a:solidFill>
                <a:prstDash val="solid"/>
                <a:round/>
              </a:ln>
              <a:effectLst/>
            </c:spPr>
          </c:dPt>
          <c:dPt>
            <c:idx val="1"/>
            <c:bubble3D val="false"/>
            <c:spPr>
              <a:solidFill>
                <a:srgbClr val="00CCD5"/>
              </a:solidFill>
              <a:ln w="19050" cap="rnd" cmpd="sng">
                <a:solidFill>
                  <a:schemeClr val="tx1">
                    <a:lumMod val="65000"/>
                    <a:lumOff val="35000"/>
                  </a:schemeClr>
                </a:solidFill>
                <a:prstDash val="solid"/>
                <a:round/>
              </a:ln>
              <a:effectLst/>
            </c:spPr>
          </c:dPt>
          <c:dPt>
            <c:idx val="2"/>
            <c:bubble3D val="false"/>
            <c:spPr>
              <a:pattFill prst="wdUpDiag">
                <a:fgClr>
                  <a:srgbClr val="B1A4FF"/>
                </a:fgClr>
                <a:bgClr>
                  <a:schemeClr val="bg1"/>
                </a:bgClr>
              </a:pattFill>
              <a:ln w="19050" cap="rnd" cmpd="sng">
                <a:solidFill>
                  <a:schemeClr val="tx1">
                    <a:lumMod val="65000"/>
                    <a:lumOff val="35000"/>
                  </a:schemeClr>
                </a:solidFill>
                <a:prstDash val="solid"/>
                <a:round/>
              </a:ln>
              <a:effectLst/>
            </c:spPr>
          </c:dPt>
          <c:dPt>
            <c:idx val="3"/>
            <c:bubble3D val="false"/>
            <c:spPr>
              <a:solidFill>
                <a:srgbClr val="1E2223"/>
              </a:solidFill>
              <a:ln w="19050" cap="rnd" cmpd="sng">
                <a:solidFill>
                  <a:schemeClr val="tx1">
                    <a:lumMod val="65000"/>
                    <a:lumOff val="35000"/>
                  </a:schemeClr>
                </a:solidFill>
                <a:prstDash val="solid"/>
                <a:round/>
              </a:ln>
              <a:effectLst/>
            </c:spPr>
          </c:dPt>
          <c:dLbls>
            <c:dLbl>
              <c:idx val="0"/>
              <c:layout/>
              <c:numFmt formatCode="General" sourceLinked="true"/>
              <c:spPr>
                <a:solidFill>
                  <a:srgbClr val="F3BF61"/>
                </a:solidFill>
                <a:ln>
                  <a:solidFill>
                    <a:schemeClr val="tx1">
                      <a:lumMod val="65000"/>
                      <a:lumOff val="35000"/>
                    </a:schemeClr>
                  </a:solid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false"/>
              <c:showVal val="false"/>
              <c:showCatName val="false"/>
              <c:showSerName val="false"/>
              <c:showPercent val="true"/>
              <c:showBubbleSize val="false"/>
              <c:extLst>
                <c:ext xmlns:c15="http://schemas.microsoft.com/office/drawing/2012/chart" uri="{CE6537A1-D6FC-4f65-9D91-7224C49458BB}"/>
              </c:extLst>
            </c:dLbl>
            <c:dLbl>
              <c:idx val="1"/>
              <c:layout>
                <c:manualLayout>
                  <c:x val="0.0614726713884806"/>
                  <c:y val="-0.0401390644753478"/>
                </c:manualLayout>
              </c:layout>
              <c:numFmt formatCode="General" sourceLinked="true"/>
              <c:spPr>
                <a:solidFill>
                  <a:srgbClr val="00CCD5"/>
                </a:solidFill>
                <a:ln>
                  <a:solidFill>
                    <a:schemeClr val="tx1">
                      <a:lumMod val="65000"/>
                      <a:lumOff val="35000"/>
                    </a:schemeClr>
                  </a:solid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180408926900976"/>
                  <c:y val="-0.0246536745714957"/>
                </c:manualLayout>
              </c:layout>
              <c:numFmt formatCode="General" sourceLinked="true"/>
              <c:spPr>
                <a:solidFill>
                  <a:srgbClr val="B1A4FF"/>
                </a:solidFill>
                <a:ln>
                  <a:solidFill>
                    <a:schemeClr val="tx1">
                      <a:lumMod val="65000"/>
                      <a:lumOff val="35000"/>
                    </a:schemeClr>
                  </a:solid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General" sourceLinked="true"/>
            <c:spPr>
              <a:solidFill>
                <a:srgbClr val="FFD588"/>
              </a:solidFill>
              <a:ln>
                <a:solidFill>
                  <a:schemeClr val="tx1">
                    <a:lumMod val="65000"/>
                    <a:lumOff val="35000"/>
                  </a:schemeClr>
                </a:solid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交通运输支出</c:v>
                </c:pt>
                <c:pt idx="3">
                  <c:v>住房保障支出</c:v>
                </c:pt>
              </c:strCache>
            </c:strRef>
          </c:cat>
          <c:val>
            <c:numRef>
              <c:f>Sheet1!$B$2:$B$5</c:f>
              <c:numCache>
                <c:formatCode>General</c:formatCode>
                <c:ptCount val="4"/>
                <c:pt idx="0">
                  <c:v>10.16</c:v>
                </c:pt>
                <c:pt idx="1">
                  <c:v>6.16</c:v>
                </c:pt>
                <c:pt idx="2">
                  <c:v>129.11</c:v>
                </c:pt>
                <c:pt idx="3">
                  <c:v>6.6</c:v>
                </c:pt>
              </c:numCache>
            </c:numRef>
          </c:val>
        </c:ser>
        <c:dLbls>
          <c:showLegendKey val="false"/>
          <c:showVal val="false"/>
          <c:showCatName val="false"/>
          <c:showSerName val="false"/>
          <c:showPercent val="false"/>
          <c:showBubbleSize val="false"/>
          <c:showLeaderLines val="false"/>
        </c:dLbls>
        <c:firstSliceAng val="0"/>
      </c:pieChart>
      <c:spPr>
        <a:noFill/>
        <a:ln>
          <a:noFill/>
        </a:ln>
        <a:effectLst/>
      </c:spPr>
    </c:plotArea>
    <c:legend>
      <c:legendPos val="r"/>
      <c:layout>
        <c:manualLayout>
          <c:xMode val="edge"/>
          <c:yMode val="edge"/>
          <c:x val="0.703013539088659"/>
          <c:y val="0.272934354938911"/>
          <c:w val="0.265977580433833"/>
          <c:h val="0.409401532408366"/>
        </c:manualLayout>
      </c:layout>
      <c:overlay val="false"/>
      <c:spPr>
        <a:noFill/>
        <a:ln>
          <a:noFill/>
        </a:ln>
        <a:effectLst/>
      </c:spPr>
      <c:txPr>
        <a:bodyPr rot="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blipFill rotWithShape="true">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金额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1"/>
              <c:layout>
                <c:manualLayout>
                  <c:x val="-0.0182791706351485"/>
                  <c:y val="-0.18712676996916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2748224507"/>
                  <c:y val="0.013287407862897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0">
                  <c:v>0</c:v>
                </c:pt>
                <c:pt idx="1">
                  <c:v>2.97</c:v>
                </c:pt>
                <c:pt idx="2">
                  <c:v>0.12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992</Words>
  <Characters>5656</Characters>
  <Lines>47</Lines>
  <Paragraphs>13</Paragraphs>
  <TotalTime>1</TotalTime>
  <ScaleCrop>false</ScaleCrop>
  <LinksUpToDate>false</LinksUpToDate>
  <CharactersWithSpaces>6635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2019-08-01T08:48:00Z</cp:lastPrinted>
  <dcterms:modified xsi:type="dcterms:W3CDTF">2022-03-15T09:37:32Z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