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hint="eastAsia" w:ascii="方正小标宋简体" w:hAnsi="宋体" w:eastAsia="方正小标宋简体"/>
          <w:b/>
          <w:color w:val="000000"/>
          <w:sz w:val="72"/>
          <w:szCs w:val="72"/>
        </w:rPr>
      </w:pPr>
      <w:bookmarkStart w:id="1" w:name="_Toc15378441"/>
      <w:bookmarkStart w:id="2" w:name="_Toc15396597"/>
      <w:bookmarkStart w:id="3" w:name="_Toc15377193"/>
      <w:bookmarkStart w:id="4" w:name="_Toc15396475"/>
      <w:bookmarkStart w:id="5" w:name="_Toc15377425"/>
      <w:r>
        <w:rPr>
          <w:rFonts w:hint="eastAsia" w:ascii="方正小标宋简体" w:hAnsi="黑体" w:eastAsia="方正小标宋简体"/>
          <w:b/>
          <w:color w:val="000000"/>
          <w:sz w:val="72"/>
          <w:szCs w:val="72"/>
        </w:rPr>
        <w:t>2019</w:t>
      </w:r>
      <w:r>
        <w:rPr>
          <w:rFonts w:hint="eastAsia" w:ascii="方正小标宋简体" w:hAnsi="宋体" w:eastAsia="方正小标宋简体"/>
          <w:b/>
          <w:color w:val="000000"/>
          <w:sz w:val="72"/>
          <w:szCs w:val="72"/>
        </w:rPr>
        <w:t>年度</w:t>
      </w:r>
      <w:bookmarkEnd w:id="1"/>
      <w:bookmarkEnd w:id="2"/>
      <w:bookmarkEnd w:id="3"/>
      <w:bookmarkEnd w:id="4"/>
      <w:bookmarkEnd w:id="5"/>
    </w:p>
    <w:p>
      <w:pPr>
        <w:adjustRightInd w:val="0"/>
        <w:snapToGrid w:val="0"/>
        <w:jc w:val="center"/>
        <w:outlineLvl w:val="0"/>
        <w:rPr>
          <w:rFonts w:hint="eastAsia" w:ascii="方正小标宋简体" w:hAnsi="宋体" w:eastAsia="方正小标宋简体"/>
          <w:b/>
          <w:color w:val="000000"/>
          <w:sz w:val="72"/>
          <w:szCs w:val="72"/>
        </w:rPr>
      </w:pPr>
      <w:bookmarkStart w:id="6" w:name="_Toc15377194"/>
      <w:bookmarkStart w:id="7" w:name="_Toc15396598"/>
      <w:bookmarkStart w:id="8" w:name="_Toc15378442"/>
      <w:bookmarkStart w:id="9" w:name="_Toc15396476"/>
      <w:bookmarkStart w:id="10" w:name="_Toc15377426"/>
      <w:r>
        <w:rPr>
          <w:rFonts w:hint="eastAsia" w:ascii="方正小标宋简体" w:hAnsi="宋体" w:eastAsia="方正小标宋简体"/>
          <w:b/>
          <w:color w:val="000000"/>
          <w:sz w:val="72"/>
          <w:szCs w:val="72"/>
        </w:rPr>
        <w:t>南江县</w:t>
      </w:r>
      <w:bookmarkEnd w:id="0"/>
      <w:bookmarkStart w:id="11" w:name="_Toc15306268"/>
      <w:r>
        <w:rPr>
          <w:rFonts w:hint="eastAsia" w:ascii="方正小标宋简体" w:hAnsi="宋体" w:eastAsia="方正小标宋简体"/>
          <w:b/>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72"/>
          <w:szCs w:val="72"/>
        </w:rPr>
        <w:t>编制说明</w:t>
      </w: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lang w:eastAsia="zh-CN"/>
        </w:rPr>
      </w:pPr>
      <w:r>
        <w:rPr>
          <w:rFonts w:hint="eastAsia" w:ascii="方正小标宋简体" w:hAnsi="宋体" w:eastAsia="方正小标宋简体"/>
          <w:b/>
          <w:color w:val="000000"/>
          <w:sz w:val="52"/>
          <w:szCs w:val="52"/>
        </w:rPr>
        <w:t>南江县</w:t>
      </w:r>
      <w:r>
        <w:rPr>
          <w:rFonts w:hint="eastAsia" w:ascii="方正小标宋简体" w:hAnsi="宋体" w:eastAsia="方正小标宋简体"/>
          <w:b/>
          <w:color w:val="000000"/>
          <w:sz w:val="52"/>
          <w:szCs w:val="52"/>
          <w:lang w:eastAsia="zh-CN"/>
        </w:rPr>
        <w:t>总工会</w:t>
      </w:r>
    </w:p>
    <w:p>
      <w:pPr>
        <w:adjustRightInd w:val="0"/>
        <w:snapToGrid w:val="0"/>
        <w:spacing w:line="360" w:lineRule="auto"/>
        <w:jc w:val="center"/>
        <w:outlineLvl w:val="0"/>
        <w:rPr>
          <w:rFonts w:ascii="方正小标宋简体" w:hAnsi="宋体" w:eastAsia="方正小标宋简体"/>
          <w:b/>
          <w:color w:val="000000"/>
          <w:sz w:val="52"/>
          <w:szCs w:val="52"/>
        </w:rPr>
      </w:pPr>
    </w:p>
    <w:p>
      <w:pPr>
        <w:widowControl/>
        <w:jc w:val="center"/>
        <w:rPr>
          <w:rFonts w:ascii="黑体" w:eastAsia="黑体"/>
          <w:color w:val="000000"/>
          <w:sz w:val="32"/>
          <w:szCs w:val="32"/>
        </w:rPr>
      </w:pPr>
      <w:r>
        <w:rPr>
          <w:rFonts w:ascii="方正小标宋简体" w:hAnsi="宋体" w:eastAsia="方正小标宋简体"/>
          <w:color w:val="000000"/>
          <w:sz w:val="36"/>
          <w:szCs w:val="36"/>
        </w:rPr>
        <w:br w:type="page"/>
      </w:r>
      <w:bookmarkStart w:id="12" w:name="_Toc15377196"/>
      <w:bookmarkStart w:id="13" w:name="_Toc15396599"/>
      <w:r>
        <w:rPr>
          <w:rFonts w:hint="eastAsia" w:ascii="黑体" w:hAnsi="黑体" w:eastAsia="黑体"/>
          <w:sz w:val="44"/>
          <w:szCs w:val="44"/>
        </w:rPr>
        <w:t xml:space="preserve">第一部分 </w:t>
      </w:r>
      <w:r>
        <w:rPr>
          <w:rStyle w:val="31"/>
          <w:rFonts w:hint="eastAsia" w:ascii="黑体" w:hAnsi="黑体" w:eastAsia="黑体"/>
          <w:b w:val="0"/>
        </w:rPr>
        <w:t>部门概况</w:t>
      </w:r>
      <w:bookmarkEnd w:id="12"/>
      <w:bookmarkEnd w:id="13"/>
    </w:p>
    <w:p>
      <w:pPr>
        <w:pStyle w:val="3"/>
        <w:pageBreakBefore w:val="0"/>
        <w:widowControl w:val="0"/>
        <w:kinsoku/>
        <w:wordWrap/>
        <w:overflowPunct/>
        <w:topLinePunct w:val="0"/>
        <w:autoSpaceDE/>
        <w:autoSpaceDN/>
        <w:bidi w:val="0"/>
        <w:adjustRightInd/>
        <w:snapToGrid/>
        <w:spacing w:line="576" w:lineRule="exact"/>
        <w:textAlignment w:val="auto"/>
        <w:rPr>
          <w:rStyle w:val="32"/>
          <w:rFonts w:hint="eastAsia" w:ascii="黑体" w:hAnsi="黑体" w:eastAsia="黑体"/>
          <w:b w:val="0"/>
          <w:bCs w:val="0"/>
        </w:rPr>
      </w:pPr>
      <w:bookmarkStart w:id="14" w:name="_Toc15377197"/>
      <w:bookmarkStart w:id="15" w:name="_Toc15396600"/>
      <w:r>
        <w:rPr>
          <w:rFonts w:hint="eastAsia" w:ascii="黑体" w:hAnsi="黑体" w:eastAsia="黑体"/>
          <w:b w:val="0"/>
          <w:color w:val="000000"/>
        </w:rPr>
        <w:t>一、基</w:t>
      </w:r>
      <w:r>
        <w:rPr>
          <w:rStyle w:val="32"/>
          <w:rFonts w:hint="eastAsia" w:ascii="黑体" w:hAnsi="黑体" w:eastAsia="黑体"/>
          <w:b w:val="0"/>
          <w:bCs w:val="0"/>
        </w:rPr>
        <w:t>本职能及主要工作</w:t>
      </w:r>
      <w:bookmarkEnd w:id="14"/>
      <w:bookmarkEnd w:id="15"/>
      <w:bookmarkStart w:id="16" w:name="_Toc15378445"/>
      <w:bookmarkStart w:id="17" w:name="_Toc15377198"/>
    </w:p>
    <w:p>
      <w:pPr>
        <w:pStyle w:val="3"/>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bCs/>
          <w:color w:val="000000"/>
          <w:sz w:val="32"/>
          <w:szCs w:val="32"/>
        </w:rPr>
      </w:pPr>
      <w:r>
        <w:rPr>
          <w:rFonts w:hint="eastAsia" w:ascii="仿宋" w:hAnsi="仿宋" w:eastAsia="仿宋"/>
          <w:bCs/>
          <w:color w:val="000000"/>
          <w:sz w:val="32"/>
          <w:szCs w:val="32"/>
        </w:rPr>
        <w:t>（一）主要职能。</w:t>
      </w:r>
      <w:bookmarkEnd w:id="16"/>
      <w:bookmarkEnd w:id="17"/>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县总工会是县级地方工会，是全县各基层工会的领导机关。在同级党委和上级工会的领导下，依照《工会法》和《工会章程》独立自主地开展</w:t>
      </w:r>
      <w:r>
        <w:rPr>
          <w:rFonts w:hint="eastAsia" w:ascii="仿宋" w:hAnsi="仿宋" w:eastAsia="仿宋"/>
          <w:sz w:val="32"/>
          <w:szCs w:val="32"/>
          <w:lang w:eastAsia="zh-CN"/>
        </w:rPr>
        <w:t>工</w:t>
      </w:r>
      <w:r>
        <w:rPr>
          <w:rFonts w:hint="eastAsia" w:ascii="仿宋" w:hAnsi="仿宋" w:eastAsia="仿宋"/>
          <w:sz w:val="32"/>
          <w:szCs w:val="32"/>
        </w:rPr>
        <w:t>作。其主要职责是：维护和代表职工的合法权益；实行民主管理和民主监督；关心困难群体，实施送温暖工程；开展群众性经济技术创新活动；抓政治教育，建设“四有”职工队伍；帮助县政府做好省、部级以上先进生产（工作）者、劳动模范的推荐、评选、表彰和管理工作；加强工会组织建设；负责工会经费的收缴、管理、使用和监督；承办县委、县政府交办的其他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numPr>
          <w:ilvl w:val="0"/>
          <w:numId w:val="0"/>
        </w:num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切实强化责任，全面从严管党治党。始终将党建和党风廉政建设摆在首位，不断扛牢扛实“两个责任”。制定下发了《南江县总工会机关党建工作要点》、《南江县总工会党风廉政建设工作要点》等文件，做到提前安排部署，按期推进实施。</w:t>
      </w:r>
    </w:p>
    <w:p>
      <w:pPr>
        <w:numPr>
          <w:ilvl w:val="0"/>
          <w:numId w:val="0"/>
        </w:num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强化思想引领，提高政治站位显作为。坚定政治站位，深入开展“不忘初心 牢记使命”主题教育，学习习近平新时代中国特色社会主义思想，切实增强“四个意识”，坚定“四个自信”，始终在思想上政治上行动上同以习近平同志为核心的党中央保持高度一致。常态化开展正风肃纪，引领职工群众听党话跟党走；引导基层工会开展“当好主人翁，建功新时代”主题技能竞赛活动；开展劳模座谈会、劳模体检和疗养等活动，鼓励广大职工群众学习先进典型、弘扬劳模精神，提高工会影响力、凝聚力。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着力夯实基础，奋力推进基层建设。2019年全县基层工会组织建设单位共计164个，涉及会员人数11108人（其中：新组建单位24个，补选单位8个，更名单位3个，换届单位129个）。据调查计，全县百人以上企业建会率达100%，农民工及八大群体建会率和入会率分别达95%以上。我县已建职工书屋26个，全县自建职工书屋23个。</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活动丰富多彩，普惠职工真情服务。为推动倡全民健身活动深入开展，县总工会会同体育联合协会筹办了南江县第十四届“工会杯”职工运动会</w:t>
      </w:r>
      <w:r>
        <w:rPr>
          <w:rFonts w:hint="eastAsia" w:ascii="仿宋" w:hAnsi="仿宋" w:eastAsia="仿宋"/>
          <w:sz w:val="32"/>
          <w:szCs w:val="32"/>
          <w:lang w:eastAsia="zh-CN"/>
        </w:rPr>
        <w:t>；</w:t>
      </w:r>
      <w:r>
        <w:rPr>
          <w:rFonts w:hint="eastAsia" w:ascii="仿宋" w:hAnsi="仿宋" w:eastAsia="仿宋"/>
          <w:sz w:val="32"/>
          <w:szCs w:val="32"/>
        </w:rPr>
        <w:t>在南江县城6个考点设立志愿服务台，组织开展了“南江县2019年中高考志愿服务活动”；县总工会积极响应禁毒委员会号召，共组织各基层工会1000余名会员参加2019年南江县全民禁毒公益健康跑、演讲比赛等活动，并组织职工志愿者为参与者提供服务，凝聚了各方正能量，营造了向善向美的氛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坚持改革创新，提升工会新形象。创新工作方式，探索建立“工会+党建、维权、就业、健康、教育、助困、智慧、创星”等八大平台，推动工会工作纵深发展。</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关爱困难职工，民生工程温暖人心。按照省、市脱困解困的目标任务，持续唱响工会“春送岗位、夏送清凉、金秋助学、冬送温暖”四季歌。</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深入一线维权，职工权益保障到位。2019年共接待职工（农民工）法律咨询150余人次，办理回复信访3件，协调处理工伤赔偿、追讨工资等维权案件共15件，涉案人数58人，帮助索赔金额共计277.9323万元。</w:t>
      </w:r>
    </w:p>
    <w:p>
      <w:pPr>
        <w:pStyle w:val="3"/>
        <w:pageBreakBefore w:val="0"/>
        <w:widowControl w:val="0"/>
        <w:kinsoku/>
        <w:wordWrap/>
        <w:overflowPunct/>
        <w:topLinePunct w:val="0"/>
        <w:autoSpaceDE/>
        <w:autoSpaceDN/>
        <w:bidi w:val="0"/>
        <w:spacing w:line="576" w:lineRule="exact"/>
        <w:textAlignment w:val="auto"/>
        <w:rPr>
          <w:rStyle w:val="32"/>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32"/>
          <w:rFonts w:hint="eastAsia" w:ascii="黑体" w:hAnsi="黑体" w:eastAsia="黑体"/>
          <w:b w:val="0"/>
          <w:bCs w:val="0"/>
        </w:rPr>
        <w:t>构设置</w:t>
      </w:r>
      <w:bookmarkEnd w:id="20"/>
      <w:bookmarkEnd w:id="21"/>
    </w:p>
    <w:p>
      <w:pPr>
        <w:pStyle w:val="5"/>
        <w:pageBreakBefore w:val="0"/>
        <w:widowControl w:val="0"/>
        <w:numPr>
          <w:ilvl w:val="0"/>
          <w:numId w:val="0"/>
        </w:numPr>
        <w:kinsoku/>
        <w:wordWrap/>
        <w:overflowPunct/>
        <w:topLinePunct w:val="0"/>
        <w:autoSpaceDE/>
        <w:autoSpaceDN/>
        <w:bidi w:val="0"/>
        <w:adjustRightInd w:val="0"/>
        <w:snapToGrid w:val="0"/>
        <w:spacing w:before="93" w:line="576" w:lineRule="exact"/>
        <w:ind w:firstLine="640" w:firstLineChars="200"/>
        <w:textAlignment w:val="auto"/>
        <w:outlineLvl w:val="2"/>
        <w:rPr>
          <w:rFonts w:hint="eastAsia" w:ascii="黑体" w:hAnsi="黑体" w:eastAsia="黑体"/>
          <w:b w:val="0"/>
          <w:color w:val="000000"/>
        </w:rPr>
      </w:pPr>
      <w:r>
        <w:rPr>
          <w:rFonts w:hint="eastAsia" w:ascii="仿宋" w:hAnsi="仿宋" w:eastAsia="仿宋" w:cs="Times New Roman"/>
          <w:kern w:val="2"/>
          <w:sz w:val="32"/>
          <w:szCs w:val="32"/>
          <w:lang w:val="en-US" w:eastAsia="zh-CN" w:bidi="ar-SA"/>
        </w:rPr>
        <w:t>南江县总工会为中共南江县委领导的群众团体，参照公务员管理的事业单位。内设工会经费审查委员会。核定参公管理事业编制6名(其中：行政编制5名，机关工勤编制1名）。领导职数，设主席1名，副主席1名；</w:t>
      </w:r>
      <w:bookmarkStart w:id="71" w:name="_GoBack"/>
      <w:bookmarkEnd w:id="71"/>
      <w:r>
        <w:rPr>
          <w:rFonts w:hint="eastAsia" w:ascii="仿宋" w:hAnsi="仿宋" w:eastAsia="仿宋" w:cs="Times New Roman"/>
          <w:kern w:val="2"/>
          <w:sz w:val="32"/>
          <w:szCs w:val="32"/>
          <w:lang w:val="en-US" w:eastAsia="zh-CN" w:bidi="ar-SA"/>
        </w:rPr>
        <w:t>经费审查委员会主任1名，按副科级配。总工会事业单位1个即（南江县工人文化宫）编制2名，管理1名，工勤1名。社会化工作者15名。</w:t>
      </w:r>
      <w:bookmarkStart w:id="22" w:name="_Toc15377204"/>
      <w:bookmarkStart w:id="23" w:name="_Toc15396602"/>
    </w:p>
    <w:p>
      <w:pPr>
        <w:pStyle w:val="2"/>
        <w:pageBreakBefore w:val="0"/>
        <w:widowControl w:val="0"/>
        <w:kinsoku/>
        <w:wordWrap/>
        <w:overflowPunct/>
        <w:topLinePunct w:val="0"/>
        <w:autoSpaceDE/>
        <w:autoSpaceDN/>
        <w:bidi w:val="0"/>
        <w:spacing w:line="576" w:lineRule="exact"/>
        <w:ind w:right="440"/>
        <w:jc w:val="right"/>
        <w:textAlignment w:val="auto"/>
      </w:pPr>
      <w:r>
        <w:rPr>
          <w:rFonts w:hint="eastAsia" w:ascii="黑体" w:hAnsi="黑体" w:eastAsia="黑体"/>
          <w:b w:val="0"/>
          <w:color w:val="000000"/>
        </w:rPr>
        <w:t>第二部分</w:t>
      </w:r>
      <w:r>
        <w:rPr>
          <w:rStyle w:val="31"/>
          <w:rFonts w:hint="eastAsia" w:ascii="黑体" w:hAnsi="黑体" w:eastAsia="黑体"/>
          <w:b w:val="0"/>
          <w:bCs w:val="0"/>
        </w:rPr>
        <w:t>2019年度部门决算情况说明</w:t>
      </w:r>
      <w:bookmarkEnd w:id="22"/>
      <w:bookmarkEnd w:id="23"/>
    </w:p>
    <w:p>
      <w:pPr>
        <w:pStyle w:val="30"/>
        <w:pageBreakBefore w:val="0"/>
        <w:widowControl w:val="0"/>
        <w:numPr>
          <w:ilvl w:val="0"/>
          <w:numId w:val="1"/>
        </w:numPr>
        <w:kinsoku/>
        <w:wordWrap/>
        <w:overflowPunct/>
        <w:topLinePunct w:val="0"/>
        <w:autoSpaceDE/>
        <w:autoSpaceDN/>
        <w:bidi w:val="0"/>
        <w:spacing w:line="576" w:lineRule="exact"/>
        <w:ind w:firstLineChars="0"/>
        <w:textAlignment w:val="auto"/>
        <w:outlineLvl w:val="1"/>
        <w:rPr>
          <w:rStyle w:val="32"/>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32"/>
          <w:rFonts w:hint="eastAsia" w:ascii="黑体" w:hAnsi="黑体" w:eastAsia="黑体"/>
          <w:b w:val="0"/>
        </w:rPr>
        <w:t>入支出决算总体情况说明</w:t>
      </w:r>
      <w:bookmarkEnd w:id="24"/>
      <w:bookmarkEnd w:id="25"/>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 w:hAnsi="仿宋" w:eastAsia="仿宋"/>
          <w:color w:val="000000"/>
          <w:sz w:val="32"/>
          <w:szCs w:val="32"/>
          <w:highlight w:val="yellow"/>
          <w:lang w:val="en-US" w:eastAsia="zh-CN"/>
        </w:rPr>
      </w:pPr>
      <w:r>
        <w:rPr>
          <w:rFonts w:hint="eastAsia" w:ascii="仿宋_GB2312" w:eastAsia="仿宋_GB2312"/>
          <w:color w:val="000000"/>
          <w:sz w:val="32"/>
          <w:szCs w:val="32"/>
          <w:lang w:eastAsia="zh-CN"/>
        </w:rPr>
        <w:drawing>
          <wp:anchor distT="0" distB="0" distL="114300" distR="114300" simplePos="0" relativeHeight="2048" behindDoc="1" locked="0" layoutInCell="1" allowOverlap="1">
            <wp:simplePos x="0" y="0"/>
            <wp:positionH relativeFrom="column">
              <wp:posOffset>709295</wp:posOffset>
            </wp:positionH>
            <wp:positionV relativeFrom="paragraph">
              <wp:posOffset>1582420</wp:posOffset>
            </wp:positionV>
            <wp:extent cx="3717925" cy="3000375"/>
            <wp:effectExtent l="4445" t="4445" r="11430" b="5080"/>
            <wp:wrapTight wrapText="bothSides">
              <wp:wrapPolygon>
                <wp:start x="-26" y="-32"/>
                <wp:lineTo x="-26" y="21499"/>
                <wp:lineTo x="21556" y="21499"/>
                <wp:lineTo x="21556" y="-32"/>
                <wp:lineTo x="-26" y="-32"/>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万元。与2018年相比，收、支总计各增加</w:t>
      </w:r>
      <w:r>
        <w:rPr>
          <w:rFonts w:hint="eastAsia" w:ascii="仿宋" w:hAnsi="仿宋" w:eastAsia="仿宋"/>
          <w:color w:val="000000"/>
          <w:sz w:val="32"/>
          <w:szCs w:val="32"/>
          <w:lang w:val="en-US" w:eastAsia="zh-CN"/>
        </w:rPr>
        <w:t>80.64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40</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highlight w:val="none"/>
        </w:rPr>
        <w:t>是</w:t>
      </w:r>
      <w:r>
        <w:rPr>
          <w:rFonts w:hint="eastAsia" w:ascii="仿宋" w:hAnsi="仿宋" w:eastAsia="仿宋"/>
          <w:color w:val="000000"/>
          <w:sz w:val="32"/>
          <w:szCs w:val="32"/>
          <w:highlight w:val="none"/>
          <w:lang w:val="en-US" w:eastAsia="zh-CN"/>
        </w:rPr>
        <w:t>2019年发生人员抚恤金94.63万元，对个人和家庭补助增加；</w:t>
      </w:r>
      <w:r>
        <w:rPr>
          <w:rFonts w:hint="eastAsia" w:ascii="仿宋" w:hAnsi="仿宋" w:eastAsia="仿宋" w:cs="仿宋"/>
          <w:sz w:val="32"/>
          <w:szCs w:val="32"/>
        </w:rPr>
        <w:t>下半年调入人员2名，人员经费增加</w:t>
      </w:r>
      <w:r>
        <w:rPr>
          <w:rFonts w:hint="eastAsia" w:ascii="仿宋" w:hAnsi="仿宋" w:eastAsia="仿宋"/>
          <w:color w:val="000000"/>
          <w:sz w:val="32"/>
          <w:szCs w:val="32"/>
          <w:highlight w:val="none"/>
          <w:lang w:val="en-US" w:eastAsia="zh-CN"/>
        </w:rPr>
        <w:t>。</w:t>
      </w:r>
    </w:p>
    <w:p>
      <w:pPr>
        <w:spacing w:line="600" w:lineRule="exact"/>
        <w:ind w:firstLine="1280" w:firstLineChars="400"/>
        <w:rPr>
          <w:rFonts w:hint="eastAsia" w:ascii="仿宋_GB2312" w:eastAsia="仿宋_GB2312"/>
          <w:color w:val="000000"/>
          <w:sz w:val="32"/>
          <w:szCs w:val="32"/>
          <w:lang w:eastAsia="zh-CN"/>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_GB2312" w:eastAsia="仿宋_GB2312"/>
          <w:color w:val="000000"/>
          <w:sz w:val="32"/>
          <w:szCs w:val="32"/>
          <w:lang w:eastAsia="zh-CN"/>
        </w:rPr>
        <w:tab/>
      </w:r>
    </w:p>
    <w:p>
      <w:pPr>
        <w:pStyle w:val="30"/>
        <w:numPr>
          <w:ilvl w:val="0"/>
          <w:numId w:val="1"/>
        </w:numPr>
        <w:spacing w:line="600" w:lineRule="exact"/>
        <w:ind w:firstLineChars="0"/>
        <w:outlineLvl w:val="1"/>
        <w:rPr>
          <w:rStyle w:val="32"/>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32"/>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2240" w:firstLineChars="700"/>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anchor distT="0" distB="0" distL="114300" distR="114300" simplePos="0" relativeHeight="3072" behindDoc="1" locked="0" layoutInCell="1" allowOverlap="1">
            <wp:simplePos x="0" y="0"/>
            <wp:positionH relativeFrom="column">
              <wp:posOffset>406400</wp:posOffset>
            </wp:positionH>
            <wp:positionV relativeFrom="paragraph">
              <wp:posOffset>76835</wp:posOffset>
            </wp:positionV>
            <wp:extent cx="4413885" cy="2715260"/>
            <wp:effectExtent l="4445" t="4445" r="58420" b="80645"/>
            <wp:wrapTight wrapText="bothSides">
              <wp:wrapPolygon>
                <wp:start x="-22" y="-35"/>
                <wp:lineTo x="-22" y="21484"/>
                <wp:lineTo x="21513" y="21484"/>
                <wp:lineTo x="21513" y="-35"/>
                <wp:lineTo x="-22" y="-35"/>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themeColor="text1"/>
          <w:sz w:val="32"/>
          <w:szCs w:val="32"/>
          <w14:textFill>
            <w14:solidFill>
              <w14:schemeClr w14:val="tx1"/>
            </w14:solidFill>
          </w14:textFill>
        </w:rPr>
        <w:t>（图2：收入决算结构图）</w:t>
      </w:r>
    </w:p>
    <w:p>
      <w:pPr>
        <w:pStyle w:val="30"/>
        <w:numPr>
          <w:ilvl w:val="0"/>
          <w:numId w:val="1"/>
        </w:numPr>
        <w:spacing w:line="600" w:lineRule="exact"/>
        <w:ind w:firstLineChars="0"/>
        <w:outlineLvl w:val="1"/>
        <w:rPr>
          <w:rStyle w:val="32"/>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32"/>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1920" w:firstLineChars="600"/>
        <w:rPr>
          <w:rFonts w:ascii="仿宋_GB2312" w:eastAsia="仿宋_GB2312"/>
          <w:color w:val="FF0000"/>
          <w:sz w:val="32"/>
          <w:szCs w:val="32"/>
        </w:rPr>
      </w:pPr>
      <w:r>
        <w:rPr>
          <w:rFonts w:hint="eastAsia" w:ascii="仿宋_GB2312" w:eastAsia="仿宋_GB2312"/>
          <w:color w:val="FF0000"/>
          <w:sz w:val="32"/>
          <w:szCs w:val="32"/>
          <w:lang w:eastAsia="zh-CN"/>
        </w:rPr>
        <w:drawing>
          <wp:anchor distT="0" distB="0" distL="114300" distR="114300" simplePos="0" relativeHeight="3072" behindDoc="1" locked="0" layoutInCell="1" allowOverlap="1">
            <wp:simplePos x="0" y="0"/>
            <wp:positionH relativeFrom="column">
              <wp:posOffset>271145</wp:posOffset>
            </wp:positionH>
            <wp:positionV relativeFrom="paragraph">
              <wp:posOffset>223520</wp:posOffset>
            </wp:positionV>
            <wp:extent cx="4413885" cy="2715260"/>
            <wp:effectExtent l="4445" t="4445" r="20320" b="23495"/>
            <wp:wrapTight wrapText="bothSides">
              <wp:wrapPolygon>
                <wp:start x="-22" y="-35"/>
                <wp:lineTo x="-22" y="21484"/>
                <wp:lineTo x="21513" y="21484"/>
                <wp:lineTo x="21513" y="-35"/>
                <wp:lineTo x="-22" y="-35"/>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32"/>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32"/>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80.64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highlight w:val="none"/>
          <w:lang w:val="en-US" w:eastAsia="zh-CN"/>
        </w:rPr>
        <w:t>2019年发生人员抚恤金94.63万元，对个人和家庭补助增加；</w:t>
      </w:r>
      <w:r>
        <w:rPr>
          <w:rFonts w:hint="eastAsia" w:ascii="仿宋" w:hAnsi="仿宋" w:eastAsia="仿宋" w:cs="仿宋"/>
          <w:sz w:val="32"/>
          <w:szCs w:val="32"/>
        </w:rPr>
        <w:t>下半年调入2名，人员经费增加</w:t>
      </w:r>
      <w:r>
        <w:rPr>
          <w:rFonts w:hint="eastAsia" w:ascii="仿宋" w:hAnsi="仿宋" w:eastAsia="仿宋"/>
          <w:color w:val="000000"/>
          <w:sz w:val="32"/>
          <w:szCs w:val="32"/>
          <w:highlight w:val="none"/>
          <w:lang w:val="en-US" w:eastAsia="zh-CN"/>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eastAsia="zh-CN"/>
          <w14:textFill>
            <w14:solidFill>
              <w14:schemeClr w14:val="tx1"/>
            </w14:solidFill>
          </w14:textFill>
        </w:rPr>
        <w:t>图</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outlineLvl w:val="1"/>
        <w:rPr>
          <w:rStyle w:val="32"/>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0" w:firstLineChars="200"/>
        <w:outlineLvl w:val="2"/>
        <w:rPr>
          <w:rFonts w:ascii="仿宋" w:hAnsi="仿宋" w:eastAsia="仿宋"/>
          <w:b/>
          <w:color w:val="000000"/>
          <w:sz w:val="32"/>
          <w:szCs w:val="32"/>
        </w:rPr>
      </w:pPr>
      <w:bookmarkStart w:id="34" w:name="_Toc15377210"/>
      <w:r>
        <w:rPr>
          <w:rFonts w:hint="eastAsia" w:ascii="仿宋_GB2312" w:eastAsia="仿宋_GB2312"/>
          <w:color w:val="000000"/>
          <w:sz w:val="32"/>
          <w:szCs w:val="32"/>
          <w:lang w:eastAsia="zh-CN"/>
        </w:rPr>
        <w:drawing>
          <wp:anchor distT="0" distB="0" distL="114300" distR="114300" simplePos="0" relativeHeight="2048" behindDoc="1" locked="0" layoutInCell="1" allowOverlap="1">
            <wp:simplePos x="0" y="0"/>
            <wp:positionH relativeFrom="column">
              <wp:posOffset>375920</wp:posOffset>
            </wp:positionH>
            <wp:positionV relativeFrom="paragraph">
              <wp:posOffset>42545</wp:posOffset>
            </wp:positionV>
            <wp:extent cx="4831715" cy="2247900"/>
            <wp:effectExtent l="4445" t="4445" r="21590" b="14605"/>
            <wp:wrapTight wrapText="bothSides">
              <wp:wrapPolygon>
                <wp:start x="-20" y="-43"/>
                <wp:lineTo x="-20" y="21557"/>
                <wp:lineTo x="21526" y="21557"/>
                <wp:lineTo x="21526" y="-43"/>
                <wp:lineTo x="-20" y="-43"/>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80.64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40</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highlight w:val="none"/>
        </w:rPr>
        <w:t>是</w:t>
      </w:r>
      <w:r>
        <w:rPr>
          <w:rFonts w:hint="eastAsia" w:ascii="仿宋" w:hAnsi="仿宋" w:eastAsia="仿宋"/>
          <w:color w:val="000000"/>
          <w:sz w:val="32"/>
          <w:szCs w:val="32"/>
          <w:highlight w:val="none"/>
          <w:lang w:val="en-US" w:eastAsia="zh-CN"/>
        </w:rPr>
        <w:t>2019年发生死亡抚恤金94.63万元，对个人和家庭补助增加；</w:t>
      </w:r>
      <w:r>
        <w:rPr>
          <w:rFonts w:hint="eastAsia" w:ascii="仿宋" w:hAnsi="仿宋" w:eastAsia="仿宋" w:cs="仿宋"/>
          <w:sz w:val="32"/>
          <w:szCs w:val="32"/>
        </w:rPr>
        <w:t>下半年调入2名，人员经费增加</w:t>
      </w:r>
      <w:r>
        <w:rPr>
          <w:rFonts w:hint="eastAsia" w:ascii="仿宋" w:hAnsi="仿宋" w:eastAsia="仿宋"/>
          <w:color w:val="000000"/>
          <w:sz w:val="32"/>
          <w:szCs w:val="32"/>
          <w:highlight w:val="none"/>
          <w:lang w:val="en-US" w:eastAsia="zh-CN"/>
        </w:rPr>
        <w:t>。</w:t>
      </w:r>
    </w:p>
    <w:p>
      <w:pPr>
        <w:spacing w:line="600" w:lineRule="exact"/>
        <w:ind w:firstLine="640" w:firstLineChars="200"/>
        <w:rPr>
          <w:rFonts w:hint="eastAsia" w:ascii="仿宋" w:hAnsi="仿宋" w:eastAsia="仿宋"/>
          <w:b/>
          <w:color w:val="000000"/>
          <w:sz w:val="32"/>
          <w:szCs w:val="32"/>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bookmarkStart w:id="35"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lang w:eastAsia="zh-CN"/>
        </w:rPr>
        <w:drawing>
          <wp:anchor distT="0" distB="0" distL="114300" distR="114300" simplePos="0" relativeHeight="2048" behindDoc="1" locked="0" layoutInCell="1" allowOverlap="1">
            <wp:simplePos x="0" y="0"/>
            <wp:positionH relativeFrom="column">
              <wp:posOffset>309245</wp:posOffset>
            </wp:positionH>
            <wp:positionV relativeFrom="paragraph">
              <wp:posOffset>213995</wp:posOffset>
            </wp:positionV>
            <wp:extent cx="4812665" cy="2105025"/>
            <wp:effectExtent l="5080" t="5080" r="20955" b="4445"/>
            <wp:wrapTight wrapText="bothSides">
              <wp:wrapPolygon>
                <wp:start x="-23" y="-52"/>
                <wp:lineTo x="-23" y="21450"/>
                <wp:lineTo x="21523" y="21450"/>
                <wp:lineTo x="21523" y="-52"/>
                <wp:lineTo x="-23" y="-52"/>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298.53</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272.18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91.15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b/>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12.1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7.57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6.7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2.25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5120" behindDoc="1" locked="0" layoutInCell="1" allowOverlap="1">
            <wp:simplePos x="0" y="0"/>
            <wp:positionH relativeFrom="column">
              <wp:posOffset>147320</wp:posOffset>
            </wp:positionH>
            <wp:positionV relativeFrom="paragraph">
              <wp:posOffset>-24130</wp:posOffset>
            </wp:positionV>
            <wp:extent cx="4880610" cy="2181225"/>
            <wp:effectExtent l="4445" t="4445" r="10795" b="81280"/>
            <wp:wrapTight wrapText="bothSides">
              <wp:wrapPolygon>
                <wp:start x="-20" y="-44"/>
                <wp:lineTo x="-20" y="21462"/>
                <wp:lineTo x="21563" y="21462"/>
                <wp:lineTo x="21563" y="-44"/>
                <wp:lineTo x="-20" y="-44"/>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hint="eastAsia" w:ascii="仿宋" w:hAnsi="仿宋" w:eastAsia="仿宋"/>
          <w:b/>
          <w:color w:val="000000"/>
          <w:sz w:val="32"/>
          <w:szCs w:val="32"/>
        </w:rPr>
      </w:pPr>
      <w:bookmarkStart w:id="36" w:name="_Toc15377212"/>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（图</w:t>
      </w:r>
      <w:r>
        <w:rPr>
          <w:rFonts w:hint="eastAsia" w:ascii="仿宋" w:hAnsi="仿宋" w:eastAsia="仿宋"/>
          <w:color w:val="000000" w:themeColor="text1"/>
          <w:sz w:val="32"/>
          <w:szCs w:val="32"/>
          <w:lang w:val="en-US" w:eastAsia="zh-CN"/>
          <w14:textFill>
            <w14:solidFill>
              <w14:schemeClr w14:val="tx1"/>
            </w14:solidFill>
          </w14:textFill>
        </w:rPr>
        <w:t>6、一般公共预算财政拨款支出决算结构图</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298.53万元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highlight w:val="yellow"/>
        </w:rPr>
      </w:pPr>
      <w:r>
        <w:rPr>
          <w:rStyle w:val="15"/>
          <w:rFonts w:ascii="仿宋" w:hAnsi="仿宋" w:eastAsia="仿宋"/>
          <w:bCs/>
          <w:color w:val="000000"/>
          <w:sz w:val="32"/>
          <w:szCs w:val="32"/>
          <w:highlight w:val="none"/>
        </w:rPr>
        <w:t>1.</w:t>
      </w:r>
      <w:r>
        <w:rPr>
          <w:rStyle w:val="15"/>
          <w:rFonts w:hint="eastAsia" w:ascii="仿宋" w:hAnsi="仿宋" w:eastAsia="仿宋"/>
          <w:bCs/>
          <w:color w:val="000000"/>
          <w:sz w:val="32"/>
          <w:szCs w:val="32"/>
          <w:highlight w:val="none"/>
        </w:rPr>
        <w:t>一般公共服务（类）</w:t>
      </w:r>
      <w:r>
        <w:rPr>
          <w:rStyle w:val="15"/>
          <w:rFonts w:hint="eastAsia" w:ascii="仿宋" w:hAnsi="仿宋" w:eastAsia="仿宋"/>
          <w:bCs/>
          <w:color w:val="000000"/>
          <w:sz w:val="32"/>
          <w:szCs w:val="32"/>
          <w:highlight w:val="none"/>
          <w:lang w:eastAsia="zh-CN"/>
        </w:rPr>
        <w:t>群众团体事务</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行政运行</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177.54</w:t>
      </w:r>
      <w:r>
        <w:rPr>
          <w:rStyle w:val="15"/>
          <w:rFonts w:hint="eastAsia" w:ascii="仿宋" w:hAnsi="仿宋" w:eastAsia="仿宋"/>
          <w:b w:val="0"/>
          <w:bCs/>
          <w:color w:val="000000"/>
          <w:sz w:val="32"/>
          <w:szCs w:val="32"/>
          <w:highlight w:val="none"/>
        </w:rPr>
        <w:t>万元，完成预算</w:t>
      </w:r>
      <w:r>
        <w:rPr>
          <w:rStyle w:val="15"/>
          <w:rFonts w:hint="eastAsia" w:ascii="仿宋" w:hAnsi="仿宋" w:eastAsia="仿宋"/>
          <w:b w:val="0"/>
          <w:bCs/>
          <w:color w:val="000000"/>
          <w:sz w:val="32"/>
          <w:szCs w:val="32"/>
          <w:highlight w:val="none"/>
          <w:lang w:val="en-US" w:eastAsia="zh-CN"/>
        </w:rPr>
        <w:t>100</w:t>
      </w:r>
      <w:r>
        <w:rPr>
          <w:rStyle w:val="15"/>
          <w:rFonts w:ascii="仿宋" w:hAnsi="仿宋" w:eastAsia="仿宋"/>
          <w:b w:val="0"/>
          <w:bCs/>
          <w:color w:val="000000"/>
          <w:sz w:val="32"/>
          <w:szCs w:val="32"/>
          <w:highlight w:val="none"/>
        </w:rPr>
        <w:t>%</w:t>
      </w:r>
      <w:r>
        <w:rPr>
          <w:rStyle w:val="15"/>
          <w:rFonts w:hint="eastAsia" w:ascii="仿宋" w:hAnsi="仿宋" w:eastAsia="仿宋"/>
          <w:b w:val="0"/>
          <w:bCs/>
          <w:color w:val="000000"/>
          <w:sz w:val="32"/>
          <w:szCs w:val="32"/>
          <w:highlight w:val="none"/>
        </w:rPr>
        <w:t>，决算</w:t>
      </w:r>
      <w:r>
        <w:rPr>
          <w:rStyle w:val="15"/>
          <w:rFonts w:hint="eastAsia" w:ascii="仿宋" w:hAnsi="仿宋" w:eastAsia="仿宋"/>
          <w:b w:val="0"/>
          <w:bCs/>
          <w:color w:val="000000"/>
          <w:sz w:val="32"/>
          <w:szCs w:val="32"/>
          <w:highlight w:val="none"/>
          <w:lang w:eastAsia="zh-CN"/>
        </w:rPr>
        <w:t>数与</w:t>
      </w:r>
      <w:r>
        <w:rPr>
          <w:rStyle w:val="15"/>
          <w:rFonts w:hint="eastAsia" w:ascii="仿宋" w:hAnsi="仿宋" w:eastAsia="仿宋"/>
          <w:b w:val="0"/>
          <w:bCs/>
          <w:color w:val="000000"/>
          <w:sz w:val="32"/>
          <w:szCs w:val="32"/>
          <w:highlight w:val="none"/>
        </w:rPr>
        <w:t>预算数</w:t>
      </w:r>
      <w:r>
        <w:rPr>
          <w:rStyle w:val="15"/>
          <w:rFonts w:hint="eastAsia" w:ascii="仿宋" w:hAnsi="仿宋" w:eastAsia="仿宋"/>
          <w:b w:val="0"/>
          <w:bCs/>
          <w:color w:val="000000"/>
          <w:sz w:val="32"/>
          <w:szCs w:val="32"/>
          <w:highlight w:val="none"/>
          <w:lang w:eastAsia="zh-CN"/>
        </w:rPr>
        <w:t>持平</w:t>
      </w:r>
      <w:r>
        <w:rPr>
          <w:rStyle w:val="15"/>
          <w:rFonts w:hint="eastAsia" w:ascii="仿宋" w:hAnsi="仿宋" w:eastAsia="仿宋"/>
          <w:b w:val="0"/>
          <w:bCs/>
          <w:color w:val="000000"/>
          <w:sz w:val="32"/>
          <w:szCs w:val="32"/>
          <w:highlight w:val="none"/>
        </w:rPr>
        <w:t>。</w:t>
      </w:r>
    </w:p>
    <w:p>
      <w:pPr>
        <w:spacing w:line="600" w:lineRule="exact"/>
        <w:ind w:firstLine="643" w:firstLineChars="200"/>
        <w:rPr>
          <w:rStyle w:val="15"/>
          <w:rFonts w:hint="eastAsia" w:ascii="仿宋" w:hAnsi="仿宋" w:eastAsia="仿宋"/>
          <w:b w:val="0"/>
          <w:bCs/>
          <w:color w:val="000000"/>
          <w:sz w:val="32"/>
          <w:szCs w:val="32"/>
          <w:highlight w:val="none"/>
          <w:lang w:val="en-US" w:eastAsia="zh-CN"/>
        </w:rPr>
      </w:pPr>
      <w:r>
        <w:rPr>
          <w:rStyle w:val="15"/>
          <w:rFonts w:ascii="仿宋" w:hAnsi="仿宋" w:eastAsia="仿宋"/>
          <w:bCs/>
          <w:color w:val="000000"/>
          <w:sz w:val="32"/>
          <w:szCs w:val="32"/>
          <w:highlight w:val="none"/>
        </w:rPr>
        <w:t>3.</w:t>
      </w:r>
      <w:r>
        <w:rPr>
          <w:rStyle w:val="15"/>
          <w:rFonts w:hint="eastAsia" w:ascii="仿宋" w:hAnsi="仿宋" w:eastAsia="仿宋"/>
          <w:bCs/>
          <w:color w:val="000000"/>
          <w:sz w:val="32"/>
          <w:szCs w:val="32"/>
          <w:highlight w:val="none"/>
        </w:rPr>
        <w:t>社会保障和就业（类）</w:t>
      </w:r>
      <w:r>
        <w:rPr>
          <w:rStyle w:val="15"/>
          <w:rFonts w:hint="eastAsia" w:ascii="仿宋" w:hAnsi="仿宋" w:eastAsia="仿宋"/>
          <w:bCs/>
          <w:color w:val="000000"/>
          <w:sz w:val="32"/>
          <w:szCs w:val="32"/>
          <w:highlight w:val="none"/>
          <w:lang w:eastAsia="zh-CN"/>
        </w:rPr>
        <w:t>行政事业单位离退休</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归口管理的行政单位离退休</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2.25</w:t>
      </w:r>
      <w:r>
        <w:rPr>
          <w:rStyle w:val="15"/>
          <w:rFonts w:hint="eastAsia" w:ascii="仿宋" w:hAnsi="仿宋" w:eastAsia="仿宋"/>
          <w:b w:val="0"/>
          <w:bCs/>
          <w:color w:val="000000"/>
          <w:sz w:val="32"/>
          <w:szCs w:val="32"/>
          <w:highlight w:val="none"/>
        </w:rPr>
        <w:t>万元，完成预算</w:t>
      </w:r>
      <w:r>
        <w:rPr>
          <w:rStyle w:val="15"/>
          <w:rFonts w:hint="eastAsia" w:ascii="仿宋" w:hAnsi="仿宋" w:eastAsia="仿宋"/>
          <w:b w:val="0"/>
          <w:bCs/>
          <w:color w:val="000000"/>
          <w:sz w:val="32"/>
          <w:szCs w:val="32"/>
          <w:highlight w:val="none"/>
          <w:lang w:val="en-US" w:eastAsia="zh-CN"/>
        </w:rPr>
        <w:t>100%，决算数与预算数持平。</w:t>
      </w:r>
    </w:p>
    <w:p>
      <w:pPr>
        <w:spacing w:line="600" w:lineRule="exact"/>
        <w:ind w:firstLine="643" w:firstLineChars="200"/>
        <w:rPr>
          <w:rStyle w:val="15"/>
          <w:rFonts w:hint="eastAsia" w:ascii="仿宋" w:hAnsi="仿宋" w:eastAsia="仿宋"/>
          <w:b w:val="0"/>
          <w:bCs/>
          <w:color w:val="000000"/>
          <w:sz w:val="32"/>
          <w:szCs w:val="32"/>
          <w:highlight w:val="none"/>
          <w:lang w:val="en-US" w:eastAsia="zh-CN"/>
        </w:rPr>
      </w:pPr>
      <w:r>
        <w:rPr>
          <w:rStyle w:val="15"/>
          <w:rFonts w:hint="eastAsia" w:ascii="仿宋" w:hAnsi="仿宋" w:eastAsia="仿宋"/>
          <w:bCs/>
          <w:color w:val="000000"/>
          <w:sz w:val="32"/>
          <w:szCs w:val="32"/>
          <w:highlight w:val="none"/>
          <w:lang w:val="en-US" w:eastAsia="zh-CN"/>
        </w:rPr>
        <w:t>4.社会保障和就业（类）行政事业单位离退休（款）机关事业单位基本养老保险缴费支出（项）:</w:t>
      </w:r>
      <w:r>
        <w:rPr>
          <w:rStyle w:val="15"/>
          <w:rFonts w:hint="eastAsia" w:ascii="仿宋" w:hAnsi="仿宋" w:eastAsia="仿宋"/>
          <w:b w:val="0"/>
          <w:bCs/>
          <w:color w:val="000000"/>
          <w:sz w:val="32"/>
          <w:szCs w:val="32"/>
          <w:highlight w:val="none"/>
          <w:lang w:val="en-US" w:eastAsia="zh-CN"/>
        </w:rPr>
        <w:t>支出决算为9.3万元，完成预算100%，决算数与预算数持平。</w:t>
      </w:r>
    </w:p>
    <w:p>
      <w:pPr>
        <w:spacing w:line="600" w:lineRule="exact"/>
        <w:ind w:firstLine="643" w:firstLineChars="200"/>
        <w:rPr>
          <w:rStyle w:val="15"/>
          <w:rFonts w:hint="eastAsia" w:ascii="仿宋" w:hAnsi="仿宋" w:eastAsia="仿宋"/>
          <w:b w:val="0"/>
          <w:bCs/>
          <w:color w:val="000000"/>
          <w:sz w:val="32"/>
          <w:szCs w:val="32"/>
          <w:highlight w:val="none"/>
          <w:lang w:val="en-US" w:eastAsia="zh-CN"/>
        </w:rPr>
      </w:pPr>
      <w:r>
        <w:rPr>
          <w:rStyle w:val="15"/>
          <w:rFonts w:hint="eastAsia" w:ascii="仿宋" w:hAnsi="仿宋" w:eastAsia="仿宋"/>
          <w:bCs/>
          <w:color w:val="000000"/>
          <w:sz w:val="32"/>
          <w:szCs w:val="32"/>
          <w:highlight w:val="none"/>
          <w:lang w:val="en-US" w:eastAsia="zh-CN"/>
        </w:rPr>
        <w:t>5.社会保障和就业（类）抚恤（款）死亡抚恤（项）:</w:t>
      </w:r>
      <w:r>
        <w:rPr>
          <w:rStyle w:val="15"/>
          <w:rFonts w:hint="eastAsia" w:ascii="仿宋" w:hAnsi="仿宋" w:eastAsia="仿宋"/>
          <w:b w:val="0"/>
          <w:bCs/>
          <w:color w:val="000000"/>
          <w:sz w:val="32"/>
          <w:szCs w:val="32"/>
          <w:highlight w:val="none"/>
          <w:lang w:val="en-US" w:eastAsia="zh-CN"/>
        </w:rPr>
        <w:t>支出决算为94.62万元。完成预算100%决算数与预算数持平。</w:t>
      </w:r>
    </w:p>
    <w:p>
      <w:pPr>
        <w:spacing w:line="600" w:lineRule="exact"/>
        <w:ind w:firstLine="643" w:firstLineChars="200"/>
        <w:rPr>
          <w:rStyle w:val="15"/>
          <w:rFonts w:hint="eastAsia" w:ascii="仿宋" w:hAnsi="仿宋" w:eastAsia="仿宋"/>
          <w:b w:val="0"/>
          <w:bCs/>
          <w:color w:val="000000"/>
          <w:sz w:val="32"/>
          <w:szCs w:val="32"/>
          <w:highlight w:val="yellow"/>
        </w:rPr>
      </w:pPr>
      <w:r>
        <w:rPr>
          <w:rStyle w:val="15"/>
          <w:rFonts w:ascii="仿宋" w:hAnsi="仿宋" w:eastAsia="仿宋"/>
          <w:bCs/>
          <w:color w:val="000000"/>
          <w:sz w:val="32"/>
          <w:szCs w:val="32"/>
          <w:highlight w:val="none"/>
        </w:rPr>
        <w:t>6.</w:t>
      </w:r>
      <w:r>
        <w:rPr>
          <w:rStyle w:val="15"/>
          <w:rFonts w:hint="eastAsia" w:ascii="仿宋" w:hAnsi="仿宋" w:eastAsia="仿宋"/>
          <w:bCs/>
          <w:color w:val="000000"/>
          <w:sz w:val="32"/>
          <w:szCs w:val="32"/>
          <w:highlight w:val="none"/>
        </w:rPr>
        <w:t>社会保障和就业（类）</w:t>
      </w:r>
      <w:r>
        <w:rPr>
          <w:rStyle w:val="15"/>
          <w:rFonts w:hint="eastAsia" w:ascii="仿宋" w:hAnsi="仿宋" w:eastAsia="仿宋"/>
          <w:bCs/>
          <w:color w:val="000000"/>
          <w:sz w:val="32"/>
          <w:szCs w:val="32"/>
          <w:highlight w:val="none"/>
          <w:lang w:eastAsia="zh-CN"/>
        </w:rPr>
        <w:t>财政对其他社会保险基金的补助</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财政对失业保险的补助</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0.07</w:t>
      </w:r>
      <w:r>
        <w:rPr>
          <w:rStyle w:val="15"/>
          <w:rFonts w:hint="eastAsia" w:ascii="仿宋" w:hAnsi="仿宋" w:eastAsia="仿宋"/>
          <w:b w:val="0"/>
          <w:bCs/>
          <w:color w:val="000000"/>
          <w:sz w:val="32"/>
          <w:szCs w:val="32"/>
          <w:highlight w:val="none"/>
        </w:rPr>
        <w:t>万元，完成预算</w:t>
      </w:r>
      <w:r>
        <w:rPr>
          <w:rStyle w:val="15"/>
          <w:rFonts w:hint="eastAsia" w:ascii="仿宋" w:hAnsi="仿宋" w:eastAsia="仿宋"/>
          <w:b w:val="0"/>
          <w:bCs/>
          <w:color w:val="000000"/>
          <w:sz w:val="32"/>
          <w:szCs w:val="32"/>
          <w:highlight w:val="none"/>
          <w:lang w:val="en-US" w:eastAsia="zh-CN"/>
        </w:rPr>
        <w:t>100</w:t>
      </w:r>
      <w:r>
        <w:rPr>
          <w:rStyle w:val="15"/>
          <w:rFonts w:ascii="仿宋" w:hAnsi="仿宋" w:eastAsia="仿宋"/>
          <w:b w:val="0"/>
          <w:bCs/>
          <w:color w:val="000000"/>
          <w:sz w:val="32"/>
          <w:szCs w:val="32"/>
          <w:highlight w:val="none"/>
        </w:rPr>
        <w:t>%</w:t>
      </w:r>
      <w:r>
        <w:rPr>
          <w:rStyle w:val="15"/>
          <w:rFonts w:hint="eastAsia" w:ascii="仿宋" w:hAnsi="仿宋" w:eastAsia="仿宋"/>
          <w:b w:val="0"/>
          <w:bCs/>
          <w:color w:val="000000"/>
          <w:sz w:val="32"/>
          <w:szCs w:val="32"/>
          <w:highlight w:val="none"/>
          <w:lang w:eastAsia="zh-CN"/>
        </w:rPr>
        <w:t>，决算数与预算数持平</w:t>
      </w:r>
      <w:r>
        <w:rPr>
          <w:rStyle w:val="15"/>
          <w:rFonts w:hint="eastAsia" w:ascii="仿宋" w:hAnsi="仿宋" w:eastAsia="仿宋"/>
          <w:b w:val="0"/>
          <w:bCs/>
          <w:color w:val="000000"/>
          <w:sz w:val="32"/>
          <w:szCs w:val="32"/>
          <w:highlight w:val="none"/>
        </w:rPr>
        <w:t>。</w:t>
      </w:r>
    </w:p>
    <w:p>
      <w:pPr>
        <w:spacing w:line="600" w:lineRule="exact"/>
        <w:ind w:firstLine="640" w:firstLineChars="200"/>
        <w:rPr>
          <w:rStyle w:val="15"/>
          <w:rFonts w:hint="eastAsia" w:ascii="仿宋" w:hAnsi="仿宋" w:eastAsia="仿宋"/>
          <w:b w:val="0"/>
          <w:bCs/>
          <w:color w:val="000000"/>
          <w:sz w:val="32"/>
          <w:szCs w:val="32"/>
          <w:highlight w:val="none"/>
          <w:lang w:val="en-US" w:eastAsia="zh-CN"/>
        </w:rPr>
      </w:pPr>
      <w:r>
        <w:rPr>
          <w:rStyle w:val="15"/>
          <w:rFonts w:hint="eastAsia" w:ascii="仿宋" w:hAnsi="仿宋" w:eastAsia="仿宋"/>
          <w:b w:val="0"/>
          <w:bCs/>
          <w:color w:val="000000"/>
          <w:sz w:val="32"/>
          <w:szCs w:val="32"/>
          <w:highlight w:val="none"/>
          <w:lang w:val="en-US" w:eastAsia="zh-CN"/>
        </w:rPr>
        <w:t>7.</w:t>
      </w:r>
      <w:r>
        <w:rPr>
          <w:rStyle w:val="15"/>
          <w:rFonts w:hint="eastAsia" w:ascii="仿宋" w:hAnsi="仿宋" w:eastAsia="仿宋"/>
          <w:bCs/>
          <w:color w:val="000000"/>
          <w:sz w:val="32"/>
          <w:szCs w:val="32"/>
          <w:highlight w:val="none"/>
        </w:rPr>
        <w:t>社会保障和就业（类）</w:t>
      </w:r>
      <w:r>
        <w:rPr>
          <w:rStyle w:val="15"/>
          <w:rFonts w:hint="eastAsia" w:ascii="仿宋" w:hAnsi="仿宋" w:eastAsia="仿宋"/>
          <w:bCs/>
          <w:color w:val="000000"/>
          <w:sz w:val="32"/>
          <w:szCs w:val="32"/>
          <w:highlight w:val="none"/>
          <w:lang w:eastAsia="zh-CN"/>
        </w:rPr>
        <w:t>财政对其他社会保险基金的补助</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财政对工伤保险的补助</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0.05</w:t>
      </w:r>
      <w:r>
        <w:rPr>
          <w:rStyle w:val="15"/>
          <w:rFonts w:hint="eastAsia" w:ascii="仿宋" w:hAnsi="仿宋" w:eastAsia="仿宋"/>
          <w:b w:val="0"/>
          <w:bCs/>
          <w:color w:val="000000"/>
          <w:sz w:val="32"/>
          <w:szCs w:val="32"/>
          <w:highlight w:val="none"/>
        </w:rPr>
        <w:t>万元，完成预算</w:t>
      </w:r>
      <w:r>
        <w:rPr>
          <w:rStyle w:val="15"/>
          <w:rFonts w:hint="eastAsia" w:ascii="仿宋" w:hAnsi="仿宋" w:eastAsia="仿宋"/>
          <w:b w:val="0"/>
          <w:bCs/>
          <w:color w:val="000000"/>
          <w:sz w:val="32"/>
          <w:szCs w:val="32"/>
          <w:highlight w:val="none"/>
          <w:lang w:val="en-US" w:eastAsia="zh-CN"/>
        </w:rPr>
        <w:t>100</w:t>
      </w:r>
      <w:r>
        <w:rPr>
          <w:rStyle w:val="15"/>
          <w:rFonts w:hint="eastAsia" w:ascii="仿宋" w:hAnsi="仿宋" w:eastAsia="仿宋"/>
          <w:b w:val="0"/>
          <w:bCs/>
          <w:color w:val="000000"/>
          <w:sz w:val="32"/>
          <w:szCs w:val="32"/>
          <w:highlight w:val="none"/>
        </w:rPr>
        <w:t>%，决算数</w:t>
      </w:r>
      <w:r>
        <w:rPr>
          <w:rStyle w:val="15"/>
          <w:rFonts w:hint="eastAsia" w:ascii="仿宋" w:hAnsi="仿宋" w:eastAsia="仿宋"/>
          <w:b w:val="0"/>
          <w:bCs/>
          <w:color w:val="000000"/>
          <w:sz w:val="32"/>
          <w:szCs w:val="32"/>
          <w:highlight w:val="none"/>
          <w:lang w:eastAsia="zh-CN"/>
        </w:rPr>
        <w:t>与</w:t>
      </w:r>
      <w:r>
        <w:rPr>
          <w:rStyle w:val="15"/>
          <w:rFonts w:hint="eastAsia" w:ascii="仿宋" w:hAnsi="仿宋" w:eastAsia="仿宋"/>
          <w:b w:val="0"/>
          <w:bCs/>
          <w:color w:val="000000"/>
          <w:sz w:val="32"/>
          <w:szCs w:val="32"/>
          <w:highlight w:val="none"/>
        </w:rPr>
        <w:t>预算数</w:t>
      </w:r>
      <w:r>
        <w:rPr>
          <w:rStyle w:val="15"/>
          <w:rFonts w:hint="eastAsia" w:ascii="仿宋" w:hAnsi="仿宋" w:eastAsia="仿宋"/>
          <w:b w:val="0"/>
          <w:bCs/>
          <w:color w:val="000000"/>
          <w:sz w:val="32"/>
          <w:szCs w:val="32"/>
          <w:highlight w:val="none"/>
          <w:lang w:eastAsia="zh-CN"/>
        </w:rPr>
        <w:t>持平</w:t>
      </w:r>
      <w:r>
        <w:rPr>
          <w:rStyle w:val="15"/>
          <w:rFonts w:hint="eastAsia" w:ascii="仿宋" w:hAnsi="仿宋" w:eastAsia="仿宋"/>
          <w:b w:val="0"/>
          <w:bCs/>
          <w:color w:val="000000"/>
          <w:sz w:val="32"/>
          <w:szCs w:val="32"/>
          <w:highlight w:val="none"/>
          <w:lang w:val="en-US" w:eastAsia="zh-CN"/>
        </w:rPr>
        <w:t>。</w:t>
      </w:r>
    </w:p>
    <w:p>
      <w:pPr>
        <w:spacing w:line="600" w:lineRule="exact"/>
        <w:ind w:firstLine="640" w:firstLineChars="200"/>
        <w:rPr>
          <w:rStyle w:val="15"/>
          <w:rFonts w:ascii="仿宋" w:hAnsi="仿宋" w:eastAsia="仿宋"/>
          <w:bCs/>
          <w:color w:val="000000"/>
          <w:sz w:val="32"/>
          <w:szCs w:val="32"/>
          <w:highlight w:val="none"/>
        </w:rPr>
      </w:pPr>
      <w:r>
        <w:rPr>
          <w:rStyle w:val="15"/>
          <w:rFonts w:hint="eastAsia" w:ascii="仿宋" w:hAnsi="仿宋" w:eastAsia="仿宋"/>
          <w:b w:val="0"/>
          <w:bCs/>
          <w:color w:val="000000"/>
          <w:sz w:val="32"/>
          <w:szCs w:val="32"/>
          <w:highlight w:val="none"/>
          <w:lang w:val="en-US" w:eastAsia="zh-CN"/>
        </w:rPr>
        <w:t>8.</w:t>
      </w:r>
      <w:r>
        <w:rPr>
          <w:rStyle w:val="15"/>
          <w:rFonts w:hint="eastAsia" w:ascii="仿宋" w:hAnsi="仿宋" w:eastAsia="仿宋"/>
          <w:bCs/>
          <w:color w:val="000000"/>
          <w:sz w:val="32"/>
          <w:szCs w:val="32"/>
          <w:highlight w:val="none"/>
        </w:rPr>
        <w:t>社会保障和就业（类）</w:t>
      </w:r>
      <w:r>
        <w:rPr>
          <w:rStyle w:val="15"/>
          <w:rFonts w:hint="eastAsia" w:ascii="仿宋" w:hAnsi="仿宋" w:eastAsia="仿宋"/>
          <w:bCs/>
          <w:color w:val="000000"/>
          <w:sz w:val="32"/>
          <w:szCs w:val="32"/>
          <w:highlight w:val="none"/>
          <w:lang w:eastAsia="zh-CN"/>
        </w:rPr>
        <w:t>财政对其他社会保险基金的补助</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财政对生育保险的补助</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0.4</w:t>
      </w:r>
      <w:r>
        <w:rPr>
          <w:rStyle w:val="15"/>
          <w:rFonts w:hint="eastAsia" w:ascii="仿宋" w:hAnsi="仿宋" w:eastAsia="仿宋"/>
          <w:b w:val="0"/>
          <w:bCs/>
          <w:color w:val="000000"/>
          <w:sz w:val="32"/>
          <w:szCs w:val="32"/>
          <w:highlight w:val="none"/>
        </w:rPr>
        <w:t>万元，完成预算</w:t>
      </w:r>
      <w:r>
        <w:rPr>
          <w:rStyle w:val="15"/>
          <w:rFonts w:hint="eastAsia" w:ascii="仿宋" w:hAnsi="仿宋" w:eastAsia="仿宋"/>
          <w:b w:val="0"/>
          <w:bCs/>
          <w:color w:val="000000"/>
          <w:sz w:val="32"/>
          <w:szCs w:val="32"/>
          <w:highlight w:val="none"/>
          <w:lang w:val="en-US" w:eastAsia="zh-CN"/>
        </w:rPr>
        <w:t>100</w:t>
      </w:r>
      <w:r>
        <w:rPr>
          <w:rStyle w:val="15"/>
          <w:rFonts w:ascii="仿宋" w:hAnsi="仿宋" w:eastAsia="仿宋"/>
          <w:b w:val="0"/>
          <w:bCs/>
          <w:color w:val="000000"/>
          <w:sz w:val="32"/>
          <w:szCs w:val="32"/>
          <w:highlight w:val="none"/>
        </w:rPr>
        <w:t>%</w:t>
      </w:r>
      <w:r>
        <w:rPr>
          <w:rStyle w:val="15"/>
          <w:rFonts w:hint="eastAsia" w:ascii="仿宋" w:hAnsi="仿宋" w:eastAsia="仿宋"/>
          <w:b w:val="0"/>
          <w:bCs/>
          <w:color w:val="000000"/>
          <w:sz w:val="32"/>
          <w:szCs w:val="32"/>
          <w:highlight w:val="none"/>
          <w:lang w:eastAsia="zh-CN"/>
        </w:rPr>
        <w:t>，决算数与预算数持平</w:t>
      </w:r>
      <w:r>
        <w:rPr>
          <w:rStyle w:val="15"/>
          <w:rFonts w:hint="eastAsia" w:ascii="仿宋" w:hAnsi="仿宋" w:eastAsia="仿宋"/>
          <w:b w:val="0"/>
          <w:bCs/>
          <w:color w:val="000000"/>
          <w:sz w:val="32"/>
          <w:szCs w:val="32"/>
          <w:highlight w:val="none"/>
        </w:rPr>
        <w:t>。</w:t>
      </w:r>
    </w:p>
    <w:p>
      <w:pPr>
        <w:numPr>
          <w:ilvl w:val="0"/>
          <w:numId w:val="0"/>
        </w:numPr>
        <w:spacing w:line="600" w:lineRule="exact"/>
        <w:ind w:firstLine="643" w:firstLineChars="200"/>
        <w:rPr>
          <w:rStyle w:val="15"/>
          <w:rFonts w:hint="eastAsia" w:ascii="仿宋" w:hAnsi="仿宋" w:eastAsia="仿宋"/>
          <w:b w:val="0"/>
          <w:bCs/>
          <w:color w:val="000000"/>
          <w:sz w:val="32"/>
          <w:szCs w:val="32"/>
          <w:highlight w:val="yellow"/>
        </w:rPr>
      </w:pPr>
      <w:r>
        <w:rPr>
          <w:rStyle w:val="15"/>
          <w:rFonts w:hint="eastAsia" w:ascii="仿宋" w:hAnsi="仿宋" w:eastAsia="仿宋"/>
          <w:bCs/>
          <w:color w:val="000000"/>
          <w:sz w:val="32"/>
          <w:szCs w:val="32"/>
          <w:highlight w:val="none"/>
          <w:lang w:val="en-US" w:eastAsia="zh-CN"/>
        </w:rPr>
        <w:t>9、</w:t>
      </w:r>
      <w:r>
        <w:rPr>
          <w:rStyle w:val="15"/>
          <w:rFonts w:hint="eastAsia" w:ascii="仿宋" w:hAnsi="仿宋" w:eastAsia="仿宋"/>
          <w:bCs/>
          <w:color w:val="000000"/>
          <w:sz w:val="32"/>
          <w:szCs w:val="32"/>
          <w:highlight w:val="none"/>
          <w:lang w:eastAsia="zh-CN"/>
        </w:rPr>
        <w:t>卫生健康支出</w:t>
      </w:r>
      <w:r>
        <w:rPr>
          <w:rStyle w:val="15"/>
          <w:rFonts w:hint="eastAsia" w:ascii="仿宋" w:hAnsi="仿宋" w:eastAsia="仿宋"/>
          <w:bCs/>
          <w:color w:val="000000"/>
          <w:sz w:val="32"/>
          <w:szCs w:val="32"/>
          <w:highlight w:val="none"/>
        </w:rPr>
        <w:t>（类）</w:t>
      </w:r>
      <w:r>
        <w:rPr>
          <w:rStyle w:val="15"/>
          <w:rFonts w:hint="eastAsia" w:ascii="仿宋" w:hAnsi="仿宋" w:eastAsia="仿宋"/>
          <w:bCs/>
          <w:color w:val="000000"/>
          <w:sz w:val="32"/>
          <w:szCs w:val="32"/>
          <w:highlight w:val="none"/>
          <w:lang w:eastAsia="zh-CN"/>
        </w:rPr>
        <w:t>行政事业单位医疗</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行政单位医疗</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6万</w:t>
      </w:r>
      <w:r>
        <w:rPr>
          <w:rStyle w:val="15"/>
          <w:rFonts w:hint="eastAsia" w:ascii="仿宋" w:hAnsi="仿宋" w:eastAsia="仿宋"/>
          <w:b w:val="0"/>
          <w:bCs/>
          <w:color w:val="000000"/>
          <w:sz w:val="32"/>
          <w:szCs w:val="32"/>
          <w:highlight w:val="none"/>
        </w:rPr>
        <w:t>元，完成预算</w:t>
      </w:r>
      <w:r>
        <w:rPr>
          <w:rStyle w:val="15"/>
          <w:rFonts w:hint="eastAsia" w:ascii="仿宋" w:hAnsi="仿宋" w:eastAsia="仿宋"/>
          <w:b w:val="0"/>
          <w:bCs/>
          <w:color w:val="000000"/>
          <w:sz w:val="32"/>
          <w:szCs w:val="32"/>
          <w:highlight w:val="none"/>
          <w:lang w:val="en-US" w:eastAsia="zh-CN"/>
        </w:rPr>
        <w:t>100</w:t>
      </w:r>
      <w:r>
        <w:rPr>
          <w:rStyle w:val="15"/>
          <w:rFonts w:ascii="仿宋" w:hAnsi="仿宋" w:eastAsia="仿宋"/>
          <w:b w:val="0"/>
          <w:bCs/>
          <w:color w:val="000000"/>
          <w:sz w:val="32"/>
          <w:szCs w:val="32"/>
          <w:highlight w:val="none"/>
        </w:rPr>
        <w:t>%</w:t>
      </w:r>
      <w:r>
        <w:rPr>
          <w:rStyle w:val="15"/>
          <w:rFonts w:hint="eastAsia" w:ascii="仿宋" w:hAnsi="仿宋" w:eastAsia="仿宋"/>
          <w:b w:val="0"/>
          <w:bCs/>
          <w:color w:val="000000"/>
          <w:sz w:val="32"/>
          <w:szCs w:val="32"/>
          <w:highlight w:val="none"/>
        </w:rPr>
        <w:t>，决算数</w:t>
      </w:r>
      <w:r>
        <w:rPr>
          <w:rStyle w:val="15"/>
          <w:rFonts w:hint="eastAsia" w:ascii="仿宋" w:hAnsi="仿宋" w:eastAsia="仿宋"/>
          <w:b w:val="0"/>
          <w:bCs/>
          <w:color w:val="000000"/>
          <w:sz w:val="32"/>
          <w:szCs w:val="32"/>
          <w:highlight w:val="none"/>
          <w:lang w:eastAsia="zh-CN"/>
        </w:rPr>
        <w:t>与</w:t>
      </w:r>
      <w:r>
        <w:rPr>
          <w:rStyle w:val="15"/>
          <w:rFonts w:hint="eastAsia" w:ascii="仿宋" w:hAnsi="仿宋" w:eastAsia="仿宋"/>
          <w:b w:val="0"/>
          <w:bCs/>
          <w:color w:val="000000"/>
          <w:sz w:val="32"/>
          <w:szCs w:val="32"/>
          <w:highlight w:val="none"/>
        </w:rPr>
        <w:t>预算数</w:t>
      </w:r>
      <w:r>
        <w:rPr>
          <w:rStyle w:val="15"/>
          <w:rFonts w:hint="eastAsia" w:ascii="仿宋" w:hAnsi="仿宋" w:eastAsia="仿宋"/>
          <w:b w:val="0"/>
          <w:bCs/>
          <w:color w:val="000000"/>
          <w:sz w:val="32"/>
          <w:szCs w:val="32"/>
          <w:highlight w:val="none"/>
          <w:lang w:eastAsia="zh-CN"/>
        </w:rPr>
        <w:t>持平</w:t>
      </w:r>
      <w:r>
        <w:rPr>
          <w:rStyle w:val="15"/>
          <w:rFonts w:hint="eastAsia" w:ascii="仿宋" w:hAnsi="仿宋" w:eastAsia="仿宋"/>
          <w:b w:val="0"/>
          <w:bCs/>
          <w:color w:val="000000"/>
          <w:sz w:val="32"/>
          <w:szCs w:val="32"/>
          <w:highlight w:val="none"/>
        </w:rPr>
        <w:t>。</w:t>
      </w:r>
    </w:p>
    <w:p>
      <w:pPr>
        <w:numPr>
          <w:ilvl w:val="0"/>
          <w:numId w:val="0"/>
        </w:numPr>
        <w:spacing w:line="600" w:lineRule="exact"/>
        <w:ind w:firstLine="643" w:firstLineChars="200"/>
        <w:rPr>
          <w:rStyle w:val="15"/>
          <w:rFonts w:hint="eastAsia" w:ascii="仿宋" w:hAnsi="仿宋" w:eastAsia="仿宋"/>
          <w:b w:val="0"/>
          <w:bCs/>
          <w:color w:val="000000"/>
          <w:sz w:val="32"/>
          <w:szCs w:val="32"/>
          <w:highlight w:val="none"/>
        </w:rPr>
      </w:pPr>
      <w:r>
        <w:rPr>
          <w:rStyle w:val="15"/>
          <w:rFonts w:hint="eastAsia" w:ascii="仿宋" w:hAnsi="仿宋" w:eastAsia="仿宋"/>
          <w:bCs/>
          <w:color w:val="000000"/>
          <w:sz w:val="32"/>
          <w:szCs w:val="32"/>
          <w:highlight w:val="none"/>
          <w:lang w:val="en-US" w:eastAsia="zh-CN"/>
        </w:rPr>
        <w:t>10、</w:t>
      </w:r>
      <w:r>
        <w:rPr>
          <w:rStyle w:val="15"/>
          <w:rFonts w:hint="eastAsia" w:ascii="仿宋" w:hAnsi="仿宋" w:eastAsia="仿宋"/>
          <w:bCs/>
          <w:color w:val="000000"/>
          <w:sz w:val="32"/>
          <w:szCs w:val="32"/>
          <w:highlight w:val="none"/>
          <w:lang w:eastAsia="zh-CN"/>
        </w:rPr>
        <w:t>卫生健康支出</w:t>
      </w:r>
      <w:r>
        <w:rPr>
          <w:rStyle w:val="15"/>
          <w:rFonts w:hint="eastAsia" w:ascii="仿宋" w:hAnsi="仿宋" w:eastAsia="仿宋"/>
          <w:bCs/>
          <w:color w:val="000000"/>
          <w:sz w:val="32"/>
          <w:szCs w:val="32"/>
          <w:highlight w:val="none"/>
        </w:rPr>
        <w:t>（类）</w:t>
      </w:r>
      <w:r>
        <w:rPr>
          <w:rStyle w:val="15"/>
          <w:rFonts w:hint="eastAsia" w:ascii="仿宋" w:hAnsi="仿宋" w:eastAsia="仿宋"/>
          <w:bCs/>
          <w:color w:val="000000"/>
          <w:sz w:val="32"/>
          <w:szCs w:val="32"/>
          <w:highlight w:val="none"/>
          <w:lang w:eastAsia="zh-CN"/>
        </w:rPr>
        <w:t>行政事业单位医疗</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事业单位医疗</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0.6万</w:t>
      </w:r>
      <w:r>
        <w:rPr>
          <w:rStyle w:val="15"/>
          <w:rFonts w:hint="eastAsia" w:ascii="仿宋" w:hAnsi="仿宋" w:eastAsia="仿宋"/>
          <w:b w:val="0"/>
          <w:bCs/>
          <w:color w:val="000000"/>
          <w:sz w:val="32"/>
          <w:szCs w:val="32"/>
          <w:highlight w:val="none"/>
        </w:rPr>
        <w:t>元，完成预算</w:t>
      </w:r>
      <w:r>
        <w:rPr>
          <w:rStyle w:val="15"/>
          <w:rFonts w:hint="eastAsia" w:ascii="仿宋" w:hAnsi="仿宋" w:eastAsia="仿宋"/>
          <w:b w:val="0"/>
          <w:bCs/>
          <w:color w:val="000000"/>
          <w:sz w:val="32"/>
          <w:szCs w:val="32"/>
          <w:highlight w:val="none"/>
          <w:lang w:val="en-US" w:eastAsia="zh-CN"/>
        </w:rPr>
        <w:t>100</w:t>
      </w:r>
      <w:r>
        <w:rPr>
          <w:rStyle w:val="15"/>
          <w:rFonts w:ascii="仿宋" w:hAnsi="仿宋" w:eastAsia="仿宋"/>
          <w:b w:val="0"/>
          <w:bCs/>
          <w:color w:val="000000"/>
          <w:sz w:val="32"/>
          <w:szCs w:val="32"/>
          <w:highlight w:val="none"/>
        </w:rPr>
        <w:t>%</w:t>
      </w:r>
      <w:r>
        <w:rPr>
          <w:rStyle w:val="15"/>
          <w:rFonts w:hint="eastAsia" w:ascii="仿宋" w:hAnsi="仿宋" w:eastAsia="仿宋"/>
          <w:b w:val="0"/>
          <w:bCs/>
          <w:color w:val="000000"/>
          <w:sz w:val="32"/>
          <w:szCs w:val="32"/>
          <w:highlight w:val="none"/>
          <w:lang w:eastAsia="zh-CN"/>
        </w:rPr>
        <w:t>，决算数与预算数持平</w:t>
      </w:r>
      <w:r>
        <w:rPr>
          <w:rStyle w:val="15"/>
          <w:rFonts w:hint="eastAsia" w:ascii="仿宋" w:hAnsi="仿宋" w:eastAsia="仿宋"/>
          <w:b w:val="0"/>
          <w:bCs/>
          <w:color w:val="000000"/>
          <w:sz w:val="32"/>
          <w:szCs w:val="32"/>
          <w:highlight w:val="none"/>
        </w:rPr>
        <w:t>。</w:t>
      </w:r>
    </w:p>
    <w:p>
      <w:pPr>
        <w:numPr>
          <w:ilvl w:val="0"/>
          <w:numId w:val="0"/>
        </w:numPr>
        <w:spacing w:line="600" w:lineRule="exact"/>
        <w:ind w:firstLine="643" w:firstLineChars="200"/>
        <w:rPr>
          <w:rStyle w:val="15"/>
          <w:rFonts w:hint="eastAsia" w:ascii="仿宋" w:hAnsi="仿宋" w:eastAsia="仿宋"/>
          <w:b w:val="0"/>
          <w:bCs/>
          <w:color w:val="000000"/>
          <w:sz w:val="32"/>
          <w:szCs w:val="32"/>
          <w:highlight w:val="none"/>
        </w:rPr>
      </w:pPr>
      <w:r>
        <w:rPr>
          <w:rStyle w:val="15"/>
          <w:rFonts w:hint="eastAsia" w:ascii="仿宋" w:hAnsi="仿宋" w:eastAsia="仿宋"/>
          <w:bCs/>
          <w:color w:val="000000"/>
          <w:sz w:val="32"/>
          <w:szCs w:val="32"/>
          <w:highlight w:val="none"/>
          <w:lang w:val="en-US" w:eastAsia="zh-CN"/>
        </w:rPr>
        <w:t>11、</w:t>
      </w:r>
      <w:r>
        <w:rPr>
          <w:rStyle w:val="15"/>
          <w:rFonts w:hint="eastAsia" w:ascii="仿宋" w:hAnsi="仿宋" w:eastAsia="仿宋"/>
          <w:bCs/>
          <w:color w:val="000000"/>
          <w:sz w:val="32"/>
          <w:szCs w:val="32"/>
          <w:highlight w:val="none"/>
          <w:lang w:eastAsia="zh-CN"/>
        </w:rPr>
        <w:t>卫生健康支出</w:t>
      </w:r>
      <w:r>
        <w:rPr>
          <w:rStyle w:val="15"/>
          <w:rFonts w:hint="eastAsia" w:ascii="仿宋" w:hAnsi="仿宋" w:eastAsia="仿宋"/>
          <w:bCs/>
          <w:color w:val="000000"/>
          <w:sz w:val="32"/>
          <w:szCs w:val="32"/>
          <w:highlight w:val="none"/>
        </w:rPr>
        <w:t>（类）</w:t>
      </w:r>
      <w:r>
        <w:rPr>
          <w:rStyle w:val="15"/>
          <w:rFonts w:hint="eastAsia" w:ascii="仿宋" w:hAnsi="仿宋" w:eastAsia="仿宋"/>
          <w:bCs/>
          <w:color w:val="000000"/>
          <w:sz w:val="32"/>
          <w:szCs w:val="32"/>
          <w:highlight w:val="none"/>
          <w:lang w:eastAsia="zh-CN"/>
        </w:rPr>
        <w:t>行政事业单位医疗</w:t>
      </w:r>
      <w:r>
        <w:rPr>
          <w:rStyle w:val="15"/>
          <w:rFonts w:hint="eastAsia" w:ascii="仿宋" w:hAnsi="仿宋" w:eastAsia="仿宋"/>
          <w:bCs/>
          <w:color w:val="000000"/>
          <w:sz w:val="32"/>
          <w:szCs w:val="32"/>
          <w:highlight w:val="none"/>
        </w:rPr>
        <w:t>（款）</w:t>
      </w:r>
      <w:r>
        <w:rPr>
          <w:rStyle w:val="15"/>
          <w:rFonts w:hint="eastAsia" w:ascii="仿宋" w:hAnsi="仿宋" w:eastAsia="仿宋"/>
          <w:bCs/>
          <w:color w:val="000000"/>
          <w:sz w:val="32"/>
          <w:szCs w:val="32"/>
          <w:highlight w:val="none"/>
          <w:lang w:eastAsia="zh-CN"/>
        </w:rPr>
        <w:t>公务员医疗补助</w:t>
      </w:r>
      <w:r>
        <w:rPr>
          <w:rStyle w:val="15"/>
          <w:rFonts w:hint="eastAsia" w:ascii="仿宋" w:hAnsi="仿宋" w:eastAsia="仿宋"/>
          <w:bCs/>
          <w:color w:val="000000"/>
          <w:sz w:val="32"/>
          <w:szCs w:val="32"/>
          <w:highlight w:val="none"/>
        </w:rPr>
        <w:t>（项）</w:t>
      </w:r>
      <w:r>
        <w:rPr>
          <w:rStyle w:val="15"/>
          <w:rFonts w:ascii="仿宋" w:hAnsi="仿宋" w:eastAsia="仿宋"/>
          <w:bCs/>
          <w:color w:val="000000"/>
          <w:sz w:val="32"/>
          <w:szCs w:val="32"/>
          <w:highlight w:val="none"/>
        </w:rPr>
        <w:t>:</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1万</w:t>
      </w:r>
      <w:r>
        <w:rPr>
          <w:rStyle w:val="15"/>
          <w:rFonts w:hint="eastAsia" w:ascii="仿宋" w:hAnsi="仿宋" w:eastAsia="仿宋"/>
          <w:b w:val="0"/>
          <w:bCs/>
          <w:color w:val="000000"/>
          <w:sz w:val="32"/>
          <w:szCs w:val="32"/>
          <w:highlight w:val="none"/>
        </w:rPr>
        <w:t>元，完成预算</w:t>
      </w:r>
      <w:r>
        <w:rPr>
          <w:rStyle w:val="15"/>
          <w:rFonts w:hint="eastAsia" w:ascii="仿宋" w:hAnsi="仿宋" w:eastAsia="仿宋"/>
          <w:b w:val="0"/>
          <w:bCs/>
          <w:color w:val="000000"/>
          <w:sz w:val="32"/>
          <w:szCs w:val="32"/>
          <w:highlight w:val="none"/>
          <w:lang w:val="en-US" w:eastAsia="zh-CN"/>
        </w:rPr>
        <w:t>100</w:t>
      </w:r>
      <w:r>
        <w:rPr>
          <w:rStyle w:val="15"/>
          <w:rFonts w:ascii="仿宋" w:hAnsi="仿宋" w:eastAsia="仿宋"/>
          <w:b w:val="0"/>
          <w:bCs/>
          <w:color w:val="000000"/>
          <w:sz w:val="32"/>
          <w:szCs w:val="32"/>
          <w:highlight w:val="none"/>
        </w:rPr>
        <w:t>%</w:t>
      </w:r>
      <w:r>
        <w:rPr>
          <w:rStyle w:val="15"/>
          <w:rFonts w:hint="eastAsia" w:ascii="仿宋" w:hAnsi="仿宋" w:eastAsia="仿宋"/>
          <w:b w:val="0"/>
          <w:bCs/>
          <w:color w:val="000000"/>
          <w:sz w:val="32"/>
          <w:szCs w:val="32"/>
          <w:highlight w:val="none"/>
          <w:lang w:eastAsia="zh-CN"/>
        </w:rPr>
        <w:t>，决算数与预算数持平</w:t>
      </w:r>
      <w:r>
        <w:rPr>
          <w:rStyle w:val="15"/>
          <w:rFonts w:hint="eastAsia" w:ascii="仿宋" w:hAnsi="仿宋" w:eastAsia="仿宋"/>
          <w:b w:val="0"/>
          <w:bCs/>
          <w:color w:val="000000"/>
          <w:sz w:val="32"/>
          <w:szCs w:val="32"/>
          <w:highlight w:val="none"/>
        </w:rPr>
        <w:t>。</w:t>
      </w:r>
    </w:p>
    <w:p>
      <w:pPr>
        <w:pStyle w:val="12"/>
        <w:keepNext w:val="0"/>
        <w:keepLines w:val="0"/>
        <w:widowControl/>
        <w:suppressLineNumbers w:val="0"/>
        <w:spacing w:before="0" w:beforeAutospacing="0" w:after="0" w:afterAutospacing="0"/>
        <w:ind w:left="0" w:right="0" w:firstLine="642"/>
        <w:jc w:val="left"/>
        <w:rPr>
          <w:rFonts w:ascii="仿宋" w:hAnsi="仿宋" w:eastAsia="仿宋" w:cs="仿宋"/>
          <w:color w:val="000000"/>
          <w:sz w:val="32"/>
          <w:szCs w:val="32"/>
        </w:rPr>
      </w:pPr>
      <w:r>
        <w:rPr>
          <w:rFonts w:ascii="仿宋" w:hAnsi="仿宋" w:eastAsia="仿宋" w:cs="仿宋"/>
          <w:color w:val="000000"/>
          <w:sz w:val="32"/>
          <w:szCs w:val="32"/>
        </w:rPr>
        <w:drawing>
          <wp:anchor distT="0" distB="0" distL="114300" distR="114300" simplePos="0" relativeHeight="6144" behindDoc="1" locked="0" layoutInCell="1" allowOverlap="1">
            <wp:simplePos x="0" y="0"/>
            <wp:positionH relativeFrom="column">
              <wp:posOffset>671195</wp:posOffset>
            </wp:positionH>
            <wp:positionV relativeFrom="paragraph">
              <wp:posOffset>1320800</wp:posOffset>
            </wp:positionV>
            <wp:extent cx="4232910" cy="1753870"/>
            <wp:effectExtent l="4445" t="4445" r="10795" b="13335"/>
            <wp:wrapTight wrapText="bothSides">
              <wp:wrapPolygon>
                <wp:start x="-23" y="-55"/>
                <wp:lineTo x="-23" y="21530"/>
                <wp:lineTo x="21558" y="21530"/>
                <wp:lineTo x="21558" y="-55"/>
                <wp:lineTo x="-23" y="-55"/>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Style w:val="15"/>
          <w:rFonts w:hint="eastAsia" w:ascii="仿宋" w:hAnsi="仿宋" w:eastAsia="仿宋"/>
          <w:b/>
          <w:bCs w:val="0"/>
          <w:color w:val="000000"/>
          <w:sz w:val="32"/>
          <w:szCs w:val="32"/>
          <w:highlight w:val="none"/>
          <w:lang w:val="en-US" w:eastAsia="zh-CN"/>
        </w:rPr>
        <w:t>12、</w:t>
      </w:r>
      <w:r>
        <w:rPr>
          <w:rStyle w:val="15"/>
          <w:rFonts w:hint="eastAsia" w:ascii="仿宋" w:hAnsi="仿宋" w:eastAsia="仿宋"/>
          <w:b/>
          <w:bCs w:val="0"/>
          <w:color w:val="000000"/>
          <w:sz w:val="32"/>
          <w:szCs w:val="32"/>
          <w:highlight w:val="none"/>
          <w:lang w:eastAsia="zh-CN"/>
        </w:rPr>
        <w:t>住房保障支出（类）住房改革支出（款）住房公积金（项）</w:t>
      </w:r>
      <w:r>
        <w:rPr>
          <w:rStyle w:val="15"/>
          <w:rFonts w:hint="eastAsia" w:ascii="仿宋" w:hAnsi="仿宋" w:eastAsia="仿宋"/>
          <w:b/>
          <w:bCs w:val="0"/>
          <w:color w:val="000000"/>
          <w:sz w:val="32"/>
          <w:szCs w:val="32"/>
          <w:highlight w:val="none"/>
          <w:lang w:val="en-US" w:eastAsia="zh-CN"/>
        </w:rPr>
        <w:t>:</w:t>
      </w:r>
      <w:r>
        <w:rPr>
          <w:rStyle w:val="15"/>
          <w:rFonts w:hint="eastAsia" w:ascii="仿宋" w:hAnsi="仿宋" w:eastAsia="仿宋"/>
          <w:b w:val="0"/>
          <w:bCs/>
          <w:color w:val="000000"/>
          <w:sz w:val="32"/>
          <w:szCs w:val="32"/>
          <w:highlight w:val="none"/>
          <w:lang w:val="en-US" w:eastAsia="zh-CN"/>
        </w:rPr>
        <w:t>支出决算为6.7万元，完成预算100%，决算数与预算数持平。</w:t>
      </w:r>
    </w:p>
    <w:p>
      <w:pPr>
        <w:pStyle w:val="12"/>
        <w:keepNext w:val="0"/>
        <w:keepLines w:val="0"/>
        <w:widowControl/>
        <w:suppressLineNumbers w:val="0"/>
        <w:spacing w:before="0" w:beforeAutospacing="0" w:after="0" w:afterAutospacing="0"/>
        <w:ind w:left="0" w:right="0" w:firstLine="642"/>
        <w:jc w:val="left"/>
        <w:rPr>
          <w:rFonts w:hint="eastAsia" w:ascii="Times New Roman" w:hAnsi="Times New Roman" w:eastAsia="仿宋" w:cs="Times New Roman"/>
          <w:sz w:val="21"/>
          <w:szCs w:val="21"/>
          <w:lang w:eastAsia="zh-CN"/>
        </w:rPr>
      </w:pPr>
      <w:r>
        <w:rPr>
          <w:rFonts w:hint="eastAsia" w:ascii="仿宋" w:hAnsi="仿宋" w:eastAsia="仿宋" w:cs="仿宋"/>
          <w:color w:val="000000"/>
          <w:sz w:val="32"/>
          <w:szCs w:val="32"/>
          <w:lang w:eastAsia="zh-CN"/>
        </w:rPr>
        <w:t>（</w:t>
      </w:r>
      <w:r>
        <w:rPr>
          <w:rFonts w:ascii="仿宋" w:hAnsi="仿宋" w:eastAsia="仿宋" w:cs="仿宋"/>
          <w:color w:val="000000"/>
          <w:sz w:val="32"/>
          <w:szCs w:val="32"/>
        </w:rPr>
        <w:t>图</w:t>
      </w:r>
      <w:r>
        <w:rPr>
          <w:rFonts w:hint="eastAsia" w:ascii="仿宋" w:hAnsi="仿宋" w:eastAsia="仿宋" w:cs="仿宋"/>
          <w:color w:val="000000"/>
          <w:sz w:val="32"/>
          <w:szCs w:val="32"/>
        </w:rPr>
        <w:t>7：一般公共预算财政拨款支出具体决算结构</w:t>
      </w:r>
      <w:r>
        <w:rPr>
          <w:rFonts w:hint="eastAsia" w:ascii="仿宋" w:hAnsi="仿宋" w:eastAsia="仿宋" w:cs="仿宋"/>
          <w:color w:val="000000"/>
          <w:sz w:val="32"/>
          <w:szCs w:val="32"/>
          <w:lang w:eastAsia="zh-CN"/>
        </w:rPr>
        <w:t>）</w:t>
      </w:r>
    </w:p>
    <w:p>
      <w:pPr>
        <w:numPr>
          <w:ilvl w:val="0"/>
          <w:numId w:val="0"/>
        </w:numPr>
        <w:spacing w:line="600" w:lineRule="exact"/>
        <w:ind w:firstLine="643" w:firstLineChars="200"/>
        <w:rPr>
          <w:rFonts w:ascii="仿宋" w:hAnsi="仿宋" w:eastAsia="仿宋"/>
          <w:b/>
          <w:color w:val="000000"/>
          <w:sz w:val="32"/>
          <w:szCs w:val="32"/>
        </w:rPr>
      </w:pPr>
    </w:p>
    <w:p>
      <w:pPr>
        <w:tabs>
          <w:tab w:val="right" w:pos="8306"/>
        </w:tabs>
        <w:spacing w:line="600" w:lineRule="exact"/>
        <w:ind w:firstLine="640"/>
        <w:outlineLvl w:val="1"/>
        <w:rPr>
          <w:rStyle w:val="32"/>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2"/>
          <w:rFonts w:hint="eastAsia" w:ascii="黑体" w:hAnsi="黑体" w:eastAsia="黑体"/>
          <w:b w:val="0"/>
        </w:rPr>
        <w:t>般公共预算财政拨款基本支出决算情况说明</w:t>
      </w:r>
      <w:bookmarkEnd w:id="40"/>
      <w:bookmarkEnd w:id="41"/>
      <w:r>
        <w:rPr>
          <w:rStyle w:val="32"/>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282.22</w:t>
      </w:r>
      <w:r>
        <w:rPr>
          <w:rFonts w:hint="eastAsia" w:ascii="仿宋" w:hAnsi="仿宋" w:eastAsia="仿宋"/>
          <w:color w:val="000000"/>
          <w:sz w:val="32"/>
          <w:szCs w:val="32"/>
        </w:rPr>
        <w:t>万元，主要包括：基本工资、津贴补贴、奖金、绩效工资、机关事业单位基本养老保险缴费、职业年金缴费、其他社会保障缴费、其他工资福利支出、离休费、退休费、抚恤金、生活补助、医疗费、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16.31</w:t>
      </w:r>
      <w:r>
        <w:rPr>
          <w:rFonts w:hint="eastAsia" w:ascii="仿宋" w:hAnsi="仿宋" w:eastAsia="仿宋"/>
          <w:color w:val="000000"/>
          <w:sz w:val="32"/>
          <w:szCs w:val="32"/>
        </w:rPr>
        <w:t>万元，主要包括：办公费、印刷费、咨询费、手续费、水费、电费、邮电费、物业管理费、差旅费、因公出国（境）费用、维修（护）费、租赁费、会议费、培训费、公务接待费、劳务费、工会经费、福利费、其他交通费用、其他商品和服务支出、办公设备购置、专用设备购置、信息网络及软件购置更新、其他资本性支出等。</w:t>
      </w:r>
    </w:p>
    <w:p>
      <w:pPr>
        <w:spacing w:line="600" w:lineRule="exact"/>
        <w:ind w:firstLine="640"/>
        <w:outlineLvl w:val="1"/>
        <w:rPr>
          <w:rStyle w:val="32"/>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32"/>
          <w:rFonts w:hint="eastAsia" w:ascii="黑体" w:hAnsi="黑体" w:eastAsia="黑体"/>
        </w:rPr>
        <w:t>“</w:t>
      </w:r>
      <w:r>
        <w:rPr>
          <w:rStyle w:val="32"/>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年初无预算</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4096" behindDoc="1" locked="0" layoutInCell="1" allowOverlap="1">
            <wp:simplePos x="0" y="0"/>
            <wp:positionH relativeFrom="column">
              <wp:posOffset>1099820</wp:posOffset>
            </wp:positionH>
            <wp:positionV relativeFrom="paragraph">
              <wp:posOffset>166370</wp:posOffset>
            </wp:positionV>
            <wp:extent cx="2689860" cy="2106295"/>
            <wp:effectExtent l="4445" t="4445" r="10795" b="22860"/>
            <wp:wrapTight wrapText="bothSides">
              <wp:wrapPolygon>
                <wp:start x="-36" y="-46"/>
                <wp:lineTo x="-36" y="21444"/>
                <wp:lineTo x="21534" y="21444"/>
                <wp:lineTo x="21534" y="-46"/>
                <wp:lineTo x="-36" y="-46"/>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pStyle w:val="12"/>
        <w:keepNext w:val="0"/>
        <w:keepLines w:val="0"/>
        <w:widowControl/>
        <w:suppressLineNumbers w:val="0"/>
        <w:spacing w:before="0" w:beforeAutospacing="0" w:after="0" w:afterAutospacing="0"/>
        <w:ind w:left="0" w:right="0" w:firstLine="960" w:firstLineChars="300"/>
        <w:jc w:val="both"/>
        <w:rPr>
          <w:rFonts w:hint="eastAsia" w:ascii="仿宋" w:hAnsi="仿宋" w:eastAsia="仿宋" w:cs="仿宋"/>
          <w:color w:val="000000"/>
          <w:sz w:val="32"/>
          <w:szCs w:val="32"/>
          <w:lang w:eastAsia="zh-CN"/>
        </w:rPr>
      </w:pPr>
    </w:p>
    <w:p>
      <w:pPr>
        <w:pStyle w:val="12"/>
        <w:keepNext w:val="0"/>
        <w:keepLines w:val="0"/>
        <w:widowControl/>
        <w:suppressLineNumbers w:val="0"/>
        <w:spacing w:before="0" w:beforeAutospacing="0" w:after="0" w:afterAutospacing="0"/>
        <w:ind w:left="0" w:right="0" w:firstLine="960" w:firstLineChars="300"/>
        <w:jc w:val="both"/>
        <w:rPr>
          <w:rFonts w:hint="eastAsia" w:ascii="仿宋" w:hAnsi="仿宋" w:eastAsia="仿宋" w:cs="仿宋"/>
          <w:color w:val="000000"/>
          <w:sz w:val="32"/>
          <w:szCs w:val="32"/>
          <w:lang w:eastAsia="zh-CN"/>
        </w:rPr>
      </w:pPr>
    </w:p>
    <w:p>
      <w:pPr>
        <w:pStyle w:val="12"/>
        <w:keepNext w:val="0"/>
        <w:keepLines w:val="0"/>
        <w:widowControl/>
        <w:suppressLineNumbers w:val="0"/>
        <w:spacing w:before="0" w:beforeAutospacing="0" w:after="0" w:afterAutospacing="0"/>
        <w:ind w:left="0" w:right="0" w:firstLine="960" w:firstLineChars="300"/>
        <w:jc w:val="both"/>
        <w:rPr>
          <w:rFonts w:hint="eastAsia" w:ascii="仿宋" w:hAnsi="仿宋" w:eastAsia="仿宋" w:cs="仿宋"/>
          <w:color w:val="000000"/>
          <w:sz w:val="32"/>
          <w:szCs w:val="32"/>
          <w:lang w:eastAsia="zh-CN"/>
        </w:rPr>
      </w:pPr>
    </w:p>
    <w:p>
      <w:pPr>
        <w:pStyle w:val="12"/>
        <w:keepNext w:val="0"/>
        <w:keepLines w:val="0"/>
        <w:widowControl/>
        <w:suppressLineNumbers w:val="0"/>
        <w:spacing w:before="0" w:beforeAutospacing="0" w:after="0" w:afterAutospacing="0"/>
        <w:ind w:left="0" w:right="0" w:firstLine="960" w:firstLineChars="300"/>
        <w:jc w:val="both"/>
        <w:rPr>
          <w:rFonts w:hint="eastAsia" w:ascii="仿宋" w:hAnsi="仿宋" w:eastAsia="仿宋"/>
          <w:color w:val="000000"/>
          <w:sz w:val="32"/>
          <w:szCs w:val="32"/>
        </w:rPr>
      </w:pPr>
      <w:r>
        <w:rPr>
          <w:rFonts w:hint="eastAsia" w:ascii="仿宋" w:hAnsi="仿宋" w:eastAsia="仿宋" w:cs="仿宋"/>
          <w:color w:val="000000"/>
          <w:sz w:val="32"/>
          <w:szCs w:val="32"/>
          <w:lang w:eastAsia="zh-CN"/>
        </w:rPr>
        <w:t>（</w:t>
      </w:r>
      <w:r>
        <w:rPr>
          <w:rFonts w:ascii="仿宋" w:hAnsi="仿宋" w:eastAsia="仿宋" w:cs="仿宋"/>
          <w:color w:val="000000"/>
          <w:sz w:val="32"/>
          <w:szCs w:val="32"/>
        </w:rPr>
        <w:t>图</w:t>
      </w:r>
      <w:r>
        <w:rPr>
          <w:rFonts w:hint="eastAsia" w:ascii="仿宋" w:hAnsi="仿宋" w:eastAsia="仿宋" w:cs="仿宋"/>
          <w:color w:val="000000"/>
          <w:sz w:val="32"/>
          <w:szCs w:val="32"/>
        </w:rPr>
        <w:t>8：“三公”经费财政拨款支出结构</w:t>
      </w:r>
      <w:r>
        <w:rPr>
          <w:rFonts w:hint="eastAsia" w:ascii="仿宋" w:hAnsi="仿宋" w:eastAsia="仿宋" w:cs="仿宋"/>
          <w:color w:val="000000"/>
          <w:sz w:val="32"/>
          <w:szCs w:val="32"/>
          <w:lang w:eastAsia="zh-CN"/>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无预算</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无预算</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万元，具体内容包括：…（接待具体项目、金额）。其中：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万元，主要用于接待</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（具体项目）。主要用于……</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万元，主要用于……</w:t>
      </w:r>
      <w:bookmarkStart w:id="46" w:name="_Toc15377218"/>
      <w:bookmarkStart w:id="47" w:name="_Toc15396610"/>
    </w:p>
    <w:p>
      <w:pPr>
        <w:spacing w:line="600" w:lineRule="exact"/>
        <w:ind w:firstLine="640"/>
        <w:outlineLvl w:val="1"/>
        <w:rPr>
          <w:rStyle w:val="32"/>
          <w:rFonts w:ascii="黑体" w:hAnsi="黑体" w:eastAsia="黑体"/>
        </w:rPr>
      </w:pPr>
      <w:r>
        <w:rPr>
          <w:rFonts w:hint="eastAsia" w:ascii="黑体" w:eastAsia="黑体"/>
          <w:color w:val="000000"/>
          <w:sz w:val="32"/>
          <w:szCs w:val="32"/>
        </w:rPr>
        <w:t>八、</w:t>
      </w:r>
      <w:r>
        <w:rPr>
          <w:rStyle w:val="32"/>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32"/>
          <w:rFonts w:ascii="黑体" w:hAnsi="黑体" w:eastAsia="黑体"/>
          <w:b w:val="0"/>
        </w:rPr>
      </w:pPr>
      <w:bookmarkStart w:id="48" w:name="_Toc15396611"/>
      <w:bookmarkStart w:id="49" w:name="_Toc15377219"/>
      <w:r>
        <w:rPr>
          <w:rStyle w:val="32"/>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30"/>
        <w:numPr>
          <w:ilvl w:val="0"/>
          <w:numId w:val="3"/>
        </w:numPr>
        <w:spacing w:line="580" w:lineRule="exact"/>
        <w:ind w:firstLineChars="0"/>
        <w:rPr>
          <w:rStyle w:val="32"/>
          <w:rFonts w:ascii="黑体" w:hAnsi="黑体" w:eastAsia="黑体"/>
          <w:b w:val="0"/>
        </w:rPr>
      </w:pPr>
      <w:r>
        <w:rPr>
          <w:rStyle w:val="32"/>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本部门按要求对2019年部门整体支出开展绩效自评，从评价情况来看单位高度重视财政资金的支出绩效，无论在资金预算</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支付等方面都做到了层层把关，严守法律、纪律底线，严守各项财经纪律</w:t>
      </w:r>
      <w:r>
        <w:rPr>
          <w:rFonts w:hint="eastAsia" w:ascii="仿宋_GB2312" w:hAnsi="仿宋_GB2312" w:eastAsia="仿宋_GB2312" w:cs="仿宋_GB2312"/>
          <w:sz w:val="32"/>
          <w:szCs w:val="32"/>
          <w:lang w:eastAsia="zh-CN"/>
        </w:rPr>
        <w:t>、规章制度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做到按时申报，按程序支付，</w:t>
      </w:r>
      <w:r>
        <w:rPr>
          <w:rFonts w:hint="eastAsia" w:ascii="仿宋_GB2312" w:hAnsi="仿宋_GB2312" w:eastAsia="仿宋_GB2312" w:cs="仿宋_GB2312"/>
          <w:sz w:val="32"/>
          <w:szCs w:val="32"/>
        </w:rPr>
        <w:t>专款专用，无挪用、套取、占用等违规现象。</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个项目绩效目标实际完成情况。（本单位部门项目绩效目标个数在5个以上的，选取5个项目进行公开，目标个数在5个以下的，全部进行公开，公开内容包括完成情况综述和完成情况表）。</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本部门自行组织对XXX项目、XXX项目开展了绩效评价，《XXX项目2019年绩效评价报告》见附件。（非涉密部门均需公开部门整体支出评价报告，部门自行组织的绩效评价情况根据部门实际公开）</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val="en-US" w:eastAsia="zh-CN"/>
        </w:rPr>
        <w:t>2019年度未预算项目资金，未作绩效评价。</w:t>
      </w:r>
    </w:p>
    <w:p>
      <w:pPr>
        <w:spacing w:line="600" w:lineRule="exact"/>
        <w:ind w:firstLine="800" w:firstLineChars="250"/>
        <w:outlineLvl w:val="1"/>
        <w:rPr>
          <w:rStyle w:val="32"/>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32"/>
          <w:rFonts w:hint="eastAsia" w:ascii="黑体" w:hAnsi="黑体" w:eastAsia="黑体"/>
        </w:rPr>
        <w:t>一、</w:t>
      </w:r>
      <w:r>
        <w:rPr>
          <w:rStyle w:val="32"/>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highlight w:val="none"/>
        </w:rPr>
      </w:pPr>
      <w:bookmarkStart w:id="52" w:name="_Toc15377222"/>
      <w:r>
        <w:rPr>
          <w:rFonts w:hint="eastAsia" w:ascii="仿宋" w:hAnsi="仿宋" w:eastAsia="仿宋"/>
          <w:b/>
          <w:color w:val="000000"/>
          <w:sz w:val="32"/>
          <w:szCs w:val="32"/>
          <w:highlight w:val="none"/>
        </w:rPr>
        <w:t>（一）机关运行经费支出情况</w:t>
      </w:r>
      <w:bookmarkEnd w:id="52"/>
    </w:p>
    <w:p>
      <w:pPr>
        <w:snapToGrid w:val="0"/>
        <w:spacing w:line="560" w:lineRule="exact"/>
        <w:ind w:firstLine="640" w:firstLineChars="200"/>
        <w:rPr>
          <w:rFonts w:hint="eastAsia" w:ascii="仿宋" w:hAnsi="仿宋" w:eastAsia="仿宋"/>
          <w:sz w:val="32"/>
          <w:szCs w:val="32"/>
          <w:lang w:eastAsia="zh-CN"/>
        </w:rPr>
      </w:pP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南江县总工会</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16.32</w:t>
      </w:r>
      <w:r>
        <w:rPr>
          <w:rFonts w:hint="eastAsia" w:ascii="仿宋_GB2312" w:eastAsia="仿宋_GB2312"/>
          <w:color w:val="000000"/>
          <w:sz w:val="32"/>
          <w:szCs w:val="32"/>
        </w:rPr>
        <w:t>万元，比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3.14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23.8</w:t>
      </w:r>
      <w:r>
        <w:rPr>
          <w:rFonts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 w:hAnsi="仿宋" w:eastAsia="仿宋"/>
          <w:sz w:val="32"/>
          <w:szCs w:val="32"/>
        </w:rPr>
        <w:t>2019年度人员</w:t>
      </w:r>
      <w:r>
        <w:rPr>
          <w:rFonts w:hint="eastAsia" w:ascii="仿宋" w:hAnsi="仿宋" w:eastAsia="仿宋"/>
          <w:sz w:val="32"/>
          <w:szCs w:val="32"/>
          <w:lang w:eastAsia="zh-CN"/>
        </w:rPr>
        <w:t>，公用</w:t>
      </w:r>
      <w:r>
        <w:rPr>
          <w:rFonts w:hint="eastAsia" w:ascii="仿宋" w:hAnsi="仿宋" w:eastAsia="仿宋"/>
          <w:sz w:val="32"/>
          <w:szCs w:val="32"/>
        </w:rPr>
        <w:t>经费</w:t>
      </w:r>
      <w:r>
        <w:rPr>
          <w:rFonts w:hint="eastAsia" w:ascii="仿宋" w:hAnsi="仿宋" w:eastAsia="仿宋"/>
          <w:sz w:val="32"/>
          <w:szCs w:val="32"/>
          <w:lang w:eastAsia="zh-CN"/>
        </w:rPr>
        <w:t>增加。</w:t>
      </w:r>
    </w:p>
    <w:p>
      <w:pPr>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因预算时省财政补助特困职工及省部级劳模资金67.02万元，预算口径下达为：一般公共服务支出－－群众团体事务,列入对个人及家庭补助－生活补贴。</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南江县总工会未纳入政府采购。</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南江县总工会</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Style w:val="31"/>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31"/>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.社会保障和就业（类）财政对社会保障基金的补助（款）财政对基本养老保险基金的补助（项）:指财政对职工基本养老保险基金的补助支出； 社会保障和就业（类）财政对社会保障基金的补助（款）财政对失业保险基金的补助（项）:指财政对失业保险基金的补助支出；社会保障和就业（类）财政对社会保障基金的补助（款）财政对工伤保险基金的补助（项）:指财政对工伤保险基金的补助支出；社会保障和就业（类）财政对社会保障基金的补助（款）财政对生育保险基金的补助（项）: 指财政对生育保险基金的补助支出；社会保障和就业（类）行政单位离退休（款）归口管理的行政单位离退休（项）：指归口管理的行政单位开支的离退休经费。</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医疗卫生与计划生育（类）医疗保障（款）行政单位医疗（项）:指财政部门集中安排的行政单位基本医疗保险经费；医疗卫生与计划生育（类）医疗保障（款）公务员医疗补助（项）:指财政部门集中安排公务员医疗补助经费。</w:t>
      </w:r>
    </w:p>
    <w:p>
      <w:pPr>
        <w:ind w:firstLine="640" w:firstLineChars="200"/>
        <w:rPr>
          <w:rFonts w:hint="eastAsia" w:ascii="仿宋_GB2312" w:eastAsia="仿宋_GB2312"/>
          <w:color w:val="000000"/>
          <w:sz w:val="32"/>
          <w:szCs w:val="32"/>
        </w:rPr>
      </w:pPr>
      <w:r>
        <w:rPr>
          <w:rFonts w:hint="eastAsia" w:ascii="仿宋" w:hAnsi="仿宋" w:eastAsia="仿宋"/>
          <w:sz w:val="32"/>
          <w:szCs w:val="32"/>
          <w:lang w:val="en-US" w:eastAsia="zh-CN"/>
        </w:rPr>
        <w:t>11</w:t>
      </w:r>
      <w:r>
        <w:rPr>
          <w:rFonts w:ascii="仿宋" w:hAnsi="仿宋" w:eastAsia="仿宋"/>
          <w:sz w:val="32"/>
          <w:szCs w:val="32"/>
        </w:rPr>
        <w:t>.</w:t>
      </w:r>
      <w:r>
        <w:rPr>
          <w:rFonts w:hint="eastAsia" w:ascii="仿宋" w:hAnsi="仿宋" w:eastAsia="仿宋"/>
          <w:sz w:val="32"/>
          <w:szCs w:val="32"/>
        </w:rPr>
        <w:t>住房保障支出（类）住房改革支出</w:t>
      </w:r>
      <w:r>
        <w:rPr>
          <w:rFonts w:ascii="仿宋" w:hAnsi="仿宋" w:eastAsia="仿宋"/>
          <w:sz w:val="32"/>
          <w:szCs w:val="32"/>
        </w:rPr>
        <w:t>(</w:t>
      </w:r>
      <w:r>
        <w:rPr>
          <w:rFonts w:hint="eastAsia" w:ascii="仿宋" w:hAnsi="仿宋" w:eastAsia="仿宋"/>
          <w:sz w:val="32"/>
          <w:szCs w:val="32"/>
        </w:rPr>
        <w:t>款</w:t>
      </w:r>
      <w:r>
        <w:rPr>
          <w:rFonts w:ascii="仿宋" w:hAnsi="仿宋" w:eastAsia="仿宋"/>
          <w:sz w:val="32"/>
          <w:szCs w:val="32"/>
        </w:rPr>
        <w:t>)</w:t>
      </w:r>
      <w:r>
        <w:rPr>
          <w:rFonts w:hint="eastAsia" w:ascii="仿宋" w:hAnsi="仿宋" w:eastAsia="仿宋"/>
          <w:sz w:val="32"/>
          <w:szCs w:val="32"/>
        </w:rPr>
        <w:t>住房公积金）（项）：指行政事业单位按人力资源和社会保障部、财政部规定的基本工资和津贴补贴以及规定比作为职工缴纳的住房公积金。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s="黑体"/>
          <w:sz w:val="32"/>
          <w:szCs w:val="32"/>
        </w:rPr>
      </w:pPr>
    </w:p>
    <w:p>
      <w:pPr>
        <w:spacing w:line="600" w:lineRule="exact"/>
        <w:jc w:val="center"/>
        <w:outlineLvl w:val="0"/>
        <w:rPr>
          <w:rStyle w:val="31"/>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31"/>
          <w:rFonts w:hint="eastAsia" w:ascii="黑体" w:hAnsi="黑体" w:eastAsia="黑体"/>
          <w:b w:val="0"/>
        </w:rPr>
        <w:t>四部分 附件</w:t>
      </w:r>
      <w:bookmarkEnd w:id="58"/>
    </w:p>
    <w:p>
      <w:pPr>
        <w:spacing w:line="600" w:lineRule="exact"/>
        <w:jc w:val="center"/>
        <w:outlineLvl w:val="0"/>
        <w:rPr>
          <w:rStyle w:val="31"/>
        </w:rPr>
      </w:pPr>
    </w:p>
    <w:p>
      <w:pPr>
        <w:pStyle w:val="3"/>
        <w:rPr>
          <w:rStyle w:val="31"/>
          <w:rFonts w:ascii="仿宋" w:hAnsi="仿宋" w:eastAsia="仿宋"/>
          <w:b w:val="0"/>
          <w:bCs w:val="0"/>
          <w:sz w:val="32"/>
          <w:szCs w:val="32"/>
        </w:rPr>
      </w:pPr>
      <w:bookmarkStart w:id="59" w:name="_Toc15396615"/>
      <w:r>
        <w:rPr>
          <w:rStyle w:val="31"/>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lang w:eastAsia="zh-CN"/>
        </w:rPr>
        <w:t>南江县总工会</w:t>
      </w:r>
      <w:r>
        <w:rPr>
          <w:rFonts w:hint="eastAsia" w:ascii="黑体" w:hAnsi="黑体" w:eastAsia="黑体" w:cs="方正小标宋简体"/>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南江县总工会为中共南江县委领导的群众团体，</w:t>
      </w:r>
      <w:r>
        <w:rPr>
          <w:rFonts w:hint="eastAsia" w:ascii="仿宋" w:hAnsi="仿宋" w:eastAsia="仿宋"/>
          <w:sz w:val="32"/>
          <w:szCs w:val="32"/>
          <w:lang w:eastAsia="zh-CN"/>
        </w:rPr>
        <w:t>参照公务员管理的事业单位，</w:t>
      </w:r>
      <w:r>
        <w:rPr>
          <w:rFonts w:hint="eastAsia" w:ascii="仿宋" w:hAnsi="仿宋" w:eastAsia="仿宋"/>
          <w:sz w:val="32"/>
          <w:szCs w:val="32"/>
        </w:rPr>
        <w:t>内设工会经费审查委员会。总工会事业单位1个</w:t>
      </w:r>
      <w:r>
        <w:rPr>
          <w:rFonts w:hint="eastAsia" w:ascii="仿宋" w:hAnsi="仿宋" w:eastAsia="仿宋"/>
          <w:sz w:val="32"/>
          <w:szCs w:val="32"/>
          <w:lang w:eastAsia="zh-CN"/>
        </w:rPr>
        <w:t>：</w:t>
      </w:r>
      <w:r>
        <w:rPr>
          <w:rFonts w:hint="eastAsia" w:ascii="仿宋" w:hAnsi="仿宋" w:eastAsia="仿宋"/>
          <w:sz w:val="32"/>
          <w:szCs w:val="32"/>
        </w:rPr>
        <w:t>南江县工人文化宫</w:t>
      </w:r>
      <w:r>
        <w:rPr>
          <w:rFonts w:hint="eastAsia" w:ascii="仿宋" w:hAnsi="仿宋" w:eastAsia="仿宋"/>
          <w:sz w:val="32"/>
          <w:szCs w:val="32"/>
          <w:lang w:eastAsia="zh-CN"/>
        </w:rPr>
        <w:t>。</w:t>
      </w:r>
    </w:p>
    <w:p>
      <w:pPr>
        <w:snapToGrid w:val="0"/>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县总工会是县级地方工会，是全县各基层工会的领导机关。在同级党委和上级工会的领导下，依照《工会法》和《工会章程》独立自主地开展</w:t>
      </w:r>
      <w:r>
        <w:rPr>
          <w:rFonts w:hint="eastAsia" w:ascii="仿宋" w:hAnsi="仿宋" w:eastAsia="仿宋"/>
          <w:sz w:val="32"/>
          <w:szCs w:val="32"/>
          <w:lang w:eastAsia="zh-CN"/>
        </w:rPr>
        <w:t>工</w:t>
      </w:r>
      <w:r>
        <w:rPr>
          <w:rFonts w:hint="eastAsia" w:ascii="仿宋" w:hAnsi="仿宋" w:eastAsia="仿宋"/>
          <w:sz w:val="32"/>
          <w:szCs w:val="32"/>
        </w:rPr>
        <w:t>作。其主要职责是：维护和代表职工的合法权益；实行民主管理和民主监督；关心困难群体，实施送温暖工程；开展群众性经济技术创新活动；抓政治教育，建设“四有”职工队伍；帮助县政府做好省、部级以上先进生产</w:t>
      </w:r>
      <w:r>
        <w:rPr>
          <w:rFonts w:hint="eastAsia" w:ascii="仿宋" w:hAnsi="仿宋" w:eastAsia="仿宋"/>
          <w:color w:val="000000"/>
          <w:sz w:val="32"/>
          <w:szCs w:val="32"/>
        </w:rPr>
        <w:t>（工作）者、劳动模范的推荐</w:t>
      </w:r>
      <w:r>
        <w:rPr>
          <w:rFonts w:hint="eastAsia" w:ascii="仿宋" w:hAnsi="仿宋" w:eastAsia="仿宋"/>
          <w:sz w:val="32"/>
          <w:szCs w:val="32"/>
        </w:rPr>
        <w:t>、评选、表彰和管理工作；加强工会组织建设；负责工会经费的收缴、管理、使用和监督；承办县委、县政府交办的其他工作。</w:t>
      </w:r>
    </w:p>
    <w:p>
      <w:pPr>
        <w:spacing w:line="580" w:lineRule="exact"/>
        <w:ind w:firstLine="640" w:firstLineChars="200"/>
        <w:rPr>
          <w:rFonts w:hint="eastAsia" w:ascii="仿宋" w:hAnsi="仿宋" w:eastAsia="仿宋"/>
          <w:b/>
          <w:sz w:val="32"/>
          <w:szCs w:val="32"/>
        </w:rPr>
      </w:pPr>
      <w:r>
        <w:rPr>
          <w:rFonts w:ascii="仿宋" w:hAnsi="仿宋" w:eastAsia="仿宋" w:cs="仿宋_GB2312"/>
          <w:sz w:val="32"/>
          <w:szCs w:val="32"/>
        </w:rPr>
        <w:t>（三）人员概况。</w:t>
      </w:r>
      <w:r>
        <w:rPr>
          <w:rFonts w:hint="eastAsia" w:ascii="仿宋" w:hAnsi="仿宋" w:eastAsia="仿宋" w:cs="仿宋_GB2312"/>
          <w:sz w:val="32"/>
          <w:szCs w:val="32"/>
          <w:lang w:eastAsia="zh-CN"/>
        </w:rPr>
        <w:t>南江县总工会</w:t>
      </w:r>
      <w:r>
        <w:rPr>
          <w:rFonts w:hint="eastAsia" w:ascii="仿宋" w:hAnsi="仿宋" w:eastAsia="仿宋"/>
          <w:sz w:val="32"/>
          <w:szCs w:val="32"/>
          <w:lang w:eastAsia="zh-CN"/>
        </w:rPr>
        <w:t>行政编制</w:t>
      </w:r>
      <w:r>
        <w:rPr>
          <w:rFonts w:hint="eastAsia" w:ascii="仿宋" w:hAnsi="仿宋" w:eastAsia="仿宋"/>
          <w:sz w:val="32"/>
          <w:szCs w:val="32"/>
          <w:lang w:val="en-US" w:eastAsia="zh-CN"/>
        </w:rPr>
        <w:t>5名，</w:t>
      </w:r>
      <w:r>
        <w:rPr>
          <w:rFonts w:hint="eastAsia" w:ascii="仿宋" w:hAnsi="仿宋" w:eastAsia="仿宋"/>
          <w:sz w:val="32"/>
          <w:szCs w:val="32"/>
        </w:rPr>
        <w:t>机关工勤编制1名；</w:t>
      </w:r>
      <w:r>
        <w:rPr>
          <w:rFonts w:hint="eastAsia" w:ascii="仿宋" w:hAnsi="仿宋" w:eastAsia="仿宋"/>
          <w:sz w:val="32"/>
          <w:szCs w:val="32"/>
          <w:lang w:eastAsia="zh-CN"/>
        </w:rPr>
        <w:t>共</w:t>
      </w:r>
      <w:r>
        <w:rPr>
          <w:rFonts w:hint="eastAsia" w:ascii="仿宋" w:hAnsi="仿宋" w:eastAsia="仿宋"/>
          <w:sz w:val="32"/>
          <w:szCs w:val="32"/>
          <w:lang w:val="en-US" w:eastAsia="zh-CN"/>
        </w:rPr>
        <w:t>6名（实有人员7名）；</w:t>
      </w:r>
      <w:r>
        <w:rPr>
          <w:rFonts w:hint="eastAsia" w:ascii="仿宋" w:hAnsi="仿宋" w:eastAsia="仿宋"/>
          <w:sz w:val="32"/>
          <w:szCs w:val="32"/>
          <w:lang w:eastAsia="zh-CN"/>
        </w:rPr>
        <w:t>事</w:t>
      </w:r>
      <w:r>
        <w:rPr>
          <w:rFonts w:hint="eastAsia" w:ascii="仿宋" w:hAnsi="仿宋" w:eastAsia="仿宋"/>
          <w:sz w:val="32"/>
          <w:szCs w:val="32"/>
        </w:rPr>
        <w:t>业单位1个（南江县工人文化宫）编制2名，设管理人员1名，事业工勤1名</w:t>
      </w:r>
      <w:r>
        <w:rPr>
          <w:rFonts w:hint="eastAsia" w:ascii="仿宋" w:hAnsi="仿宋" w:eastAsia="仿宋"/>
          <w:sz w:val="32"/>
          <w:szCs w:val="32"/>
          <w:lang w:eastAsia="zh-CN"/>
        </w:rPr>
        <w:t>，（实有</w:t>
      </w:r>
      <w:r>
        <w:rPr>
          <w:rFonts w:hint="eastAsia" w:ascii="仿宋" w:hAnsi="仿宋" w:eastAsia="仿宋"/>
          <w:sz w:val="32"/>
          <w:szCs w:val="32"/>
          <w:lang w:val="en-US" w:eastAsia="zh-CN"/>
        </w:rPr>
        <w:t>1名，空缺1名）</w:t>
      </w:r>
      <w:r>
        <w:rPr>
          <w:rFonts w:hint="eastAsia" w:ascii="仿宋" w:hAnsi="仿宋" w:eastAsia="仿宋"/>
          <w:sz w:val="32"/>
          <w:szCs w:val="32"/>
        </w:rPr>
        <w:t>；社会化工作者</w:t>
      </w:r>
      <w:r>
        <w:rPr>
          <w:rFonts w:hint="eastAsia" w:ascii="仿宋" w:hAnsi="仿宋" w:eastAsia="仿宋"/>
          <w:sz w:val="32"/>
          <w:szCs w:val="32"/>
          <w:lang w:val="en-US" w:eastAsia="zh-CN"/>
        </w:rPr>
        <w:t>15</w:t>
      </w:r>
      <w:r>
        <w:rPr>
          <w:rFonts w:hint="eastAsia" w:ascii="仿宋" w:hAnsi="仿宋" w:eastAsia="仿宋"/>
          <w:sz w:val="32"/>
          <w:szCs w:val="32"/>
        </w:rPr>
        <w:t>名</w:t>
      </w:r>
      <w:r>
        <w:rPr>
          <w:rFonts w:hint="eastAsia" w:ascii="仿宋" w:hAnsi="仿宋" w:eastAsia="仿宋"/>
          <w:sz w:val="32"/>
          <w:szCs w:val="32"/>
          <w:lang w:eastAsia="zh-CN"/>
        </w:rPr>
        <w:t>；</w:t>
      </w:r>
      <w:r>
        <w:rPr>
          <w:rFonts w:hint="eastAsia" w:ascii="仿宋" w:hAnsi="仿宋" w:eastAsia="仿宋" w:cs="仿宋_GB2312"/>
          <w:sz w:val="32"/>
          <w:szCs w:val="32"/>
          <w:lang w:eastAsia="zh-CN"/>
        </w:rPr>
        <w:t>退休人员共</w:t>
      </w:r>
      <w:r>
        <w:rPr>
          <w:rFonts w:hint="eastAsia" w:ascii="仿宋" w:hAnsi="仿宋" w:eastAsia="仿宋" w:cs="仿宋_GB2312"/>
          <w:sz w:val="32"/>
          <w:szCs w:val="32"/>
          <w:lang w:val="en-US" w:eastAsia="zh-CN"/>
        </w:rPr>
        <w:t>10名，长赡人员4名。</w:t>
      </w:r>
      <w:r>
        <w:rPr>
          <w:rFonts w:hint="eastAsia" w:ascii="仿宋" w:hAnsi="仿宋" w:eastAsia="仿宋"/>
          <w:sz w:val="32"/>
          <w:szCs w:val="32"/>
          <w:lang w:eastAsia="zh-CN"/>
        </w:rPr>
        <w:t>共有人员</w:t>
      </w:r>
      <w:r>
        <w:rPr>
          <w:rFonts w:hint="eastAsia" w:ascii="仿宋" w:hAnsi="仿宋" w:eastAsia="仿宋"/>
          <w:sz w:val="32"/>
          <w:szCs w:val="32"/>
          <w:lang w:val="en-US" w:eastAsia="zh-CN"/>
        </w:rPr>
        <w:t>37名。</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600" w:lineRule="exact"/>
        <w:ind w:firstLine="640" w:firstLineChars="200"/>
        <w:outlineLvl w:val="1"/>
        <w:rPr>
          <w:rFonts w:ascii="仿宋" w:hAnsi="仿宋" w:eastAsia="仿宋" w:cs="仿宋_GB2312"/>
          <w:sz w:val="32"/>
          <w:szCs w:val="32"/>
        </w:rPr>
      </w:pPr>
      <w:r>
        <w:rPr>
          <w:rFonts w:ascii="仿宋" w:hAnsi="仿宋" w:eastAsia="仿宋" w:cs="仿宋_GB2312"/>
          <w:sz w:val="32"/>
          <w:szCs w:val="32"/>
        </w:rPr>
        <w:t>（一）部门财政资金收入情况。</w:t>
      </w:r>
      <w:r>
        <w:rPr>
          <w:rFonts w:ascii="仿宋" w:hAnsi="仿宋" w:eastAsia="仿宋"/>
          <w:color w:val="000000"/>
          <w:sz w:val="32"/>
          <w:szCs w:val="32"/>
        </w:rPr>
        <w:t>2019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s="仿宋_GB2312"/>
          <w:sz w:val="32"/>
          <w:szCs w:val="32"/>
        </w:rPr>
      </w:pPr>
      <w:r>
        <w:rPr>
          <w:rFonts w:ascii="仿宋" w:hAnsi="仿宋" w:eastAsia="仿宋" w:cs="仿宋_GB2312"/>
          <w:sz w:val="32"/>
          <w:szCs w:val="32"/>
        </w:rPr>
        <w:t>（二）部门财政资金支出情况。</w:t>
      </w:r>
      <w:r>
        <w:rPr>
          <w:rFonts w:ascii="仿宋" w:hAnsi="仿宋" w:eastAsia="仿宋"/>
          <w:color w:val="000000"/>
          <w:sz w:val="32"/>
          <w:szCs w:val="32"/>
        </w:rPr>
        <w:t>2019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298.53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rPr>
        <w:t>严格预算管理</w:t>
      </w:r>
      <w:r>
        <w:rPr>
          <w:rFonts w:hint="eastAsia" w:ascii="仿宋" w:hAnsi="仿宋" w:eastAsia="仿宋"/>
          <w:color w:val="000000"/>
          <w:sz w:val="32"/>
          <w:szCs w:val="32"/>
          <w:lang w:eastAsia="zh-CN"/>
        </w:rPr>
        <w:t>，确保预算编制准确；严格支出控制，</w:t>
      </w:r>
      <w:r>
        <w:rPr>
          <w:rFonts w:hint="eastAsia" w:ascii="仿宋" w:hAnsi="仿宋" w:eastAsia="仿宋"/>
          <w:color w:val="000000"/>
          <w:sz w:val="32"/>
          <w:szCs w:val="32"/>
        </w:rPr>
        <w:t>在资金预算</w:t>
      </w:r>
      <w:r>
        <w:rPr>
          <w:rFonts w:hint="eastAsia" w:ascii="仿宋" w:hAnsi="仿宋" w:eastAsia="仿宋"/>
          <w:color w:val="000000"/>
          <w:sz w:val="32"/>
          <w:szCs w:val="32"/>
          <w:lang w:eastAsia="zh-CN"/>
        </w:rPr>
        <w:t>、动态调整</w:t>
      </w:r>
      <w:r>
        <w:rPr>
          <w:rFonts w:hint="eastAsia" w:ascii="仿宋" w:hAnsi="仿宋" w:eastAsia="仿宋"/>
          <w:color w:val="000000"/>
          <w:sz w:val="32"/>
          <w:szCs w:val="32"/>
        </w:rPr>
        <w:t>、审批、执行、支付等环节</w:t>
      </w:r>
      <w:r>
        <w:rPr>
          <w:rFonts w:hint="eastAsia" w:ascii="仿宋" w:hAnsi="仿宋" w:eastAsia="仿宋"/>
          <w:color w:val="000000"/>
          <w:sz w:val="32"/>
          <w:szCs w:val="32"/>
          <w:lang w:eastAsia="zh-CN"/>
        </w:rPr>
        <w:t>中能</w:t>
      </w:r>
      <w:r>
        <w:rPr>
          <w:rFonts w:hint="eastAsia" w:ascii="仿宋" w:hAnsi="仿宋" w:eastAsia="仿宋"/>
          <w:color w:val="000000"/>
          <w:sz w:val="32"/>
          <w:szCs w:val="32"/>
        </w:rPr>
        <w:t>做到层层把关，</w:t>
      </w:r>
      <w:r>
        <w:rPr>
          <w:rFonts w:hint="eastAsia" w:ascii="仿宋" w:hAnsi="仿宋" w:eastAsia="仿宋"/>
          <w:color w:val="000000"/>
          <w:sz w:val="32"/>
          <w:szCs w:val="32"/>
          <w:lang w:eastAsia="zh-CN"/>
        </w:rPr>
        <w:t>按制度执行</w:t>
      </w:r>
      <w:r>
        <w:rPr>
          <w:rFonts w:hint="eastAsia" w:ascii="仿宋" w:hAnsi="仿宋" w:eastAsia="仿宋"/>
          <w:color w:val="000000"/>
          <w:sz w:val="32"/>
          <w:szCs w:val="32"/>
        </w:rPr>
        <w:t>，确保财政资金的安全和高效运行</w:t>
      </w:r>
      <w:r>
        <w:rPr>
          <w:rFonts w:hint="eastAsia" w:ascii="仿宋" w:hAnsi="仿宋" w:eastAsia="仿宋"/>
          <w:color w:val="000000"/>
          <w:sz w:val="32"/>
          <w:szCs w:val="32"/>
          <w:lang w:eastAsia="zh-CN"/>
        </w:rPr>
        <w:t>；能按时、按质、按量全部完成。无违规记录等情况。</w:t>
      </w:r>
    </w:p>
    <w:p>
      <w:pPr>
        <w:spacing w:line="580" w:lineRule="exact"/>
        <w:ind w:firstLine="640" w:firstLineChars="200"/>
        <w:rPr>
          <w:rFonts w:hint="eastAsia" w:ascii="仿宋" w:hAnsi="仿宋" w:eastAsia="仿宋"/>
          <w:sz w:val="32"/>
          <w:szCs w:val="32"/>
        </w:rPr>
      </w:pPr>
      <w:r>
        <w:rPr>
          <w:rFonts w:ascii="仿宋" w:hAnsi="仿宋" w:eastAsia="仿宋" w:cs="仿宋_GB2312"/>
          <w:sz w:val="32"/>
          <w:szCs w:val="32"/>
        </w:rPr>
        <w:t>（二）专项预算管理。</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专项预算项目程序严密、规划合理、结果符合、分配科学、分配及时、专项预算绩效目标完成、实施绩效、</w:t>
      </w:r>
      <w:r>
        <w:rPr>
          <w:rFonts w:hint="eastAsia" w:ascii="仿宋" w:hAnsi="仿宋" w:eastAsia="仿宋"/>
          <w:color w:val="000000"/>
          <w:sz w:val="32"/>
          <w:szCs w:val="32"/>
          <w:lang w:eastAsia="zh-CN"/>
        </w:rPr>
        <w:t>无</w:t>
      </w:r>
      <w:r>
        <w:rPr>
          <w:rFonts w:hint="eastAsia" w:ascii="仿宋" w:hAnsi="仿宋" w:eastAsia="仿宋"/>
          <w:color w:val="000000"/>
          <w:sz w:val="32"/>
          <w:szCs w:val="32"/>
        </w:rPr>
        <w:t>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根据绩效评价指标体系测算，本单位部门整体支出绩效评价</w:t>
      </w:r>
      <w:r>
        <w:rPr>
          <w:rFonts w:hint="eastAsia" w:ascii="仿宋" w:hAnsi="仿宋" w:eastAsia="仿宋" w:cs="仿宋_GB2312"/>
          <w:sz w:val="32"/>
          <w:szCs w:val="32"/>
          <w:lang w:eastAsia="zh-CN"/>
        </w:rPr>
        <w:t>较好</w:t>
      </w:r>
      <w:r>
        <w:rPr>
          <w:rFonts w:hint="eastAsia" w:ascii="仿宋" w:hAnsi="仿宋" w:eastAsia="仿宋" w:cs="仿宋_GB2312"/>
          <w:sz w:val="32"/>
          <w:szCs w:val="32"/>
        </w:rPr>
        <w:t>。</w:t>
      </w:r>
      <w:r>
        <w:rPr>
          <w:rFonts w:hint="eastAsia" w:ascii="仿宋" w:hAnsi="仿宋" w:eastAsia="仿宋" w:cs="仿宋_GB2312"/>
          <w:sz w:val="32"/>
          <w:szCs w:val="32"/>
          <w:lang w:eastAsia="zh-CN"/>
        </w:rPr>
        <w:t>绩效目标公开和自评公开、评价结果整改和应用结果反映良好。</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3" w:firstLineChars="200"/>
        <w:rPr>
          <w:rFonts w:ascii="仿宋" w:hAnsi="仿宋" w:eastAsia="仿宋" w:cs="仿宋_GB2312"/>
          <w:b/>
          <w:bCs/>
          <w:sz w:val="32"/>
          <w:szCs w:val="32"/>
        </w:rPr>
      </w:pPr>
      <w:r>
        <w:rPr>
          <w:rFonts w:ascii="仿宋" w:hAnsi="仿宋" w:eastAsia="仿宋" w:cs="仿宋_GB2312"/>
          <w:b/>
          <w:bCs/>
          <w:sz w:val="32"/>
          <w:szCs w:val="32"/>
        </w:rPr>
        <w:t>（一）评价结论。</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w:t>
      </w:r>
      <w:r>
        <w:rPr>
          <w:rFonts w:hint="eastAsia" w:ascii="仿宋" w:hAnsi="仿宋" w:eastAsia="仿宋" w:cs="仿宋_GB2312"/>
          <w:sz w:val="32"/>
          <w:szCs w:val="32"/>
          <w:lang w:eastAsia="zh-CN"/>
        </w:rPr>
        <w:t>会</w:t>
      </w:r>
      <w:r>
        <w:rPr>
          <w:rFonts w:hint="eastAsia" w:ascii="仿宋" w:hAnsi="仿宋" w:eastAsia="仿宋" w:cs="仿宋_GB2312"/>
          <w:sz w:val="32"/>
          <w:szCs w:val="32"/>
        </w:rPr>
        <w:t>高度重视财政资金的支出绩效，无论在资金预算、审批、执行、支付等方面都做到了层层把关，严格执行资金管理相关规定及单位财务制度，切实做到资金专款专用，无挪用、套取、占用等违规现象。</w:t>
      </w:r>
    </w:p>
    <w:p>
      <w:pPr>
        <w:spacing w:line="520" w:lineRule="exact"/>
        <w:ind w:firstLine="643" w:firstLineChars="200"/>
        <w:rPr>
          <w:rFonts w:ascii="仿宋" w:hAnsi="仿宋" w:eastAsia="仿宋" w:cs="仿宋_GB2312"/>
          <w:b/>
          <w:bCs/>
          <w:sz w:val="32"/>
          <w:szCs w:val="32"/>
        </w:rPr>
      </w:pPr>
      <w:r>
        <w:rPr>
          <w:rFonts w:ascii="仿宋" w:hAnsi="仿宋" w:eastAsia="仿宋" w:cs="仿宋_GB2312"/>
          <w:b/>
          <w:bCs/>
          <w:sz w:val="32"/>
          <w:szCs w:val="32"/>
        </w:rPr>
        <w:t>（二）存在问题。</w:t>
      </w:r>
    </w:p>
    <w:p>
      <w:pPr>
        <w:spacing w:line="5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单位</w:t>
      </w:r>
      <w:r>
        <w:rPr>
          <w:rFonts w:hint="eastAsia" w:ascii="仿宋" w:hAnsi="仿宋" w:eastAsia="仿宋" w:cs="仿宋_GB2312"/>
          <w:sz w:val="32"/>
          <w:szCs w:val="32"/>
          <w:lang w:eastAsia="zh-CN"/>
        </w:rPr>
        <w:t>预算</w:t>
      </w:r>
      <w:r>
        <w:rPr>
          <w:rFonts w:hint="eastAsia" w:ascii="仿宋" w:hAnsi="仿宋" w:eastAsia="仿宋" w:cs="仿宋_GB2312"/>
          <w:sz w:val="32"/>
          <w:szCs w:val="32"/>
        </w:rPr>
        <w:t>的支出管理</w:t>
      </w:r>
      <w:r>
        <w:rPr>
          <w:rFonts w:hint="eastAsia" w:ascii="仿宋" w:hAnsi="仿宋" w:eastAsia="仿宋" w:cs="仿宋_GB2312"/>
          <w:sz w:val="32"/>
          <w:szCs w:val="32"/>
          <w:lang w:eastAsia="zh-CN"/>
        </w:rPr>
        <w:t>，</w:t>
      </w:r>
      <w:r>
        <w:rPr>
          <w:rFonts w:hint="eastAsia" w:ascii="仿宋" w:hAnsi="仿宋" w:eastAsia="仿宋" w:cs="仿宋_GB2312"/>
          <w:sz w:val="32"/>
          <w:szCs w:val="32"/>
        </w:rPr>
        <w:t>还有待进一步细化，</w:t>
      </w:r>
      <w:r>
        <w:rPr>
          <w:rFonts w:hint="eastAsia" w:ascii="仿宋" w:hAnsi="仿宋" w:eastAsia="仿宋" w:cs="仿宋_GB2312"/>
          <w:sz w:val="32"/>
          <w:szCs w:val="32"/>
          <w:lang w:eastAsia="zh-CN"/>
        </w:rPr>
        <w:t>绩效编制有待改进，</w:t>
      </w:r>
      <w:r>
        <w:rPr>
          <w:rFonts w:hint="eastAsia" w:ascii="仿宋" w:hAnsi="仿宋" w:eastAsia="仿宋" w:cs="仿宋_GB2312"/>
          <w:sz w:val="32"/>
          <w:szCs w:val="32"/>
        </w:rPr>
        <w:t>进一步规范各项支出。</w:t>
      </w:r>
    </w:p>
    <w:p>
      <w:pPr>
        <w:spacing w:line="520" w:lineRule="exact"/>
        <w:ind w:firstLine="643" w:firstLineChars="200"/>
        <w:rPr>
          <w:rFonts w:ascii="仿宋" w:hAnsi="仿宋" w:eastAsia="仿宋" w:cs="仿宋_GB2312"/>
          <w:b/>
          <w:bCs/>
          <w:kern w:val="2"/>
          <w:sz w:val="32"/>
          <w:szCs w:val="32"/>
        </w:rPr>
      </w:pPr>
      <w:r>
        <w:rPr>
          <w:rFonts w:ascii="仿宋" w:hAnsi="仿宋" w:eastAsia="仿宋" w:cs="仿宋_GB2312"/>
          <w:b/>
          <w:bCs/>
          <w:kern w:val="2"/>
          <w:sz w:val="32"/>
          <w:szCs w:val="32"/>
        </w:rPr>
        <w:t>（三）改进建议。</w:t>
      </w:r>
    </w:p>
    <w:p>
      <w:pPr>
        <w:spacing w:line="520" w:lineRule="exact"/>
        <w:ind w:firstLine="640" w:firstLineChars="200"/>
        <w:rPr>
          <w:rFonts w:hint="eastAsia" w:ascii="仿宋" w:hAnsi="仿宋" w:eastAsia="仿宋" w:cs="仿宋_GB2312"/>
          <w:kern w:val="2"/>
          <w:sz w:val="32"/>
          <w:szCs w:val="32"/>
        </w:rPr>
      </w:pPr>
      <w:r>
        <w:rPr>
          <w:rFonts w:hint="eastAsia" w:ascii="仿宋" w:hAnsi="仿宋" w:eastAsia="仿宋" w:cs="仿宋_GB2312"/>
          <w:kern w:val="2"/>
          <w:sz w:val="32"/>
          <w:szCs w:val="32"/>
          <w:lang w:val="en-US" w:eastAsia="zh-CN"/>
        </w:rPr>
        <w:t>1</w:t>
      </w:r>
      <w:r>
        <w:rPr>
          <w:rFonts w:ascii="仿宋" w:hAnsi="仿宋" w:eastAsia="仿宋" w:cs="仿宋_GB2312"/>
          <w:kern w:val="2"/>
          <w:sz w:val="32"/>
          <w:szCs w:val="32"/>
        </w:rPr>
        <w:t>.</w:t>
      </w:r>
      <w:r>
        <w:rPr>
          <w:rFonts w:hint="eastAsia" w:ascii="仿宋" w:hAnsi="仿宋" w:eastAsia="仿宋" w:cs="仿宋_GB2312"/>
          <w:kern w:val="2"/>
          <w:sz w:val="32"/>
          <w:szCs w:val="32"/>
        </w:rPr>
        <w:t>进一步加强财务管理，严格财务审核。在资金支付时，严格按照预算规定的费用项目和用途进行资金使用审核，杜绝超支现象发生。</w:t>
      </w:r>
    </w:p>
    <w:p>
      <w:pPr>
        <w:spacing w:line="520" w:lineRule="exact"/>
        <w:ind w:firstLine="640" w:firstLineChars="200"/>
        <w:rPr>
          <w:rFonts w:ascii="仿宋" w:hAnsi="仿宋" w:eastAsia="仿宋" w:cs="仿宋_GB2312"/>
          <w:kern w:val="2"/>
          <w:sz w:val="32"/>
          <w:szCs w:val="32"/>
        </w:rPr>
      </w:pPr>
      <w:r>
        <w:rPr>
          <w:rFonts w:hint="eastAsia" w:ascii="仿宋" w:hAnsi="仿宋" w:eastAsia="仿宋" w:cs="仿宋_GB2312"/>
          <w:kern w:val="2"/>
          <w:sz w:val="32"/>
          <w:szCs w:val="32"/>
          <w:lang w:val="en-US" w:eastAsia="zh-CN"/>
        </w:rPr>
        <w:t>2</w:t>
      </w:r>
      <w:r>
        <w:rPr>
          <w:rFonts w:ascii="仿宋" w:hAnsi="仿宋" w:eastAsia="仿宋" w:cs="仿宋_GB2312"/>
          <w:kern w:val="2"/>
          <w:sz w:val="32"/>
          <w:szCs w:val="32"/>
        </w:rPr>
        <w:t>.</w:t>
      </w:r>
      <w:r>
        <w:rPr>
          <w:rFonts w:hint="eastAsia" w:ascii="仿宋" w:hAnsi="仿宋" w:eastAsia="仿宋" w:cs="仿宋_GB2312"/>
          <w:kern w:val="2"/>
          <w:sz w:val="32"/>
          <w:szCs w:val="32"/>
        </w:rPr>
        <w:t>加强项目实施进度的跟踪，及时开展项目绩效评价，确保项目绩效目标完成。</w:t>
      </w:r>
    </w:p>
    <w:p>
      <w:p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3.加强业务培训，提高工作效率。</w:t>
      </w:r>
    </w:p>
    <w:p>
      <w:pPr>
        <w:spacing w:line="580" w:lineRule="exact"/>
        <w:ind w:firstLine="640" w:firstLineChars="200"/>
        <w:rPr>
          <w:rFonts w:ascii="仿宋" w:hAnsi="仿宋" w:eastAsia="仿宋"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31"/>
          <w:rFonts w:ascii="仿宋" w:hAnsi="仿宋" w:eastAsia="仿宋"/>
          <w:b w:val="0"/>
          <w:bCs w:val="0"/>
          <w:sz w:val="32"/>
          <w:szCs w:val="32"/>
        </w:rPr>
      </w:pPr>
      <w:bookmarkStart w:id="61" w:name="_Toc15396617"/>
      <w:r>
        <w:rPr>
          <w:rStyle w:val="31"/>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2019年XXX项目支出绩效评价报告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31"/>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31"/>
          <w:rFonts w:ascii="黑体" w:hAnsi="黑体" w:eastAsia="黑体"/>
          <w:b w:val="0"/>
        </w:rPr>
      </w:pPr>
      <w:bookmarkStart w:id="62" w:name="_Toc15396618"/>
      <w:r>
        <w:rPr>
          <w:rFonts w:hint="eastAsia" w:ascii="黑体" w:hAnsi="黑体" w:eastAsia="黑体"/>
          <w:color w:val="000000"/>
          <w:sz w:val="44"/>
          <w:szCs w:val="44"/>
        </w:rPr>
        <w:t>第</w:t>
      </w:r>
      <w:r>
        <w:rPr>
          <w:rStyle w:val="31"/>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32"/>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32"/>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32"/>
          <w:rFonts w:hint="eastAsia" w:ascii="仿宋" w:hAnsi="仿宋" w:eastAsia="仿宋"/>
          <w:b w:val="0"/>
          <w:bCs w:val="0"/>
        </w:rPr>
        <w:t>三、</w:t>
      </w:r>
      <w:r>
        <w:rPr>
          <w:rFonts w:hint="eastAsia" w:ascii="仿宋" w:hAnsi="仿宋" w:eastAsia="仿宋"/>
          <w:b w:val="0"/>
          <w:color w:val="000000"/>
        </w:rPr>
        <w:t>支</w:t>
      </w:r>
      <w:r>
        <w:rPr>
          <w:rStyle w:val="32"/>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32"/>
          <w:rFonts w:hint="eastAsia" w:ascii="仿宋" w:hAnsi="仿宋" w:eastAsia="仿宋"/>
          <w:b w:val="0"/>
          <w:bCs w:val="0"/>
        </w:rPr>
        <w:t>四、</w:t>
      </w:r>
      <w:r>
        <w:rPr>
          <w:rFonts w:hint="eastAsia" w:ascii="仿宋" w:hAnsi="仿宋" w:eastAsia="仿宋"/>
          <w:b w:val="0"/>
          <w:color w:val="000000"/>
        </w:rPr>
        <w:t>财</w:t>
      </w:r>
      <w:r>
        <w:rPr>
          <w:rStyle w:val="32"/>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4"/>
      <w:r>
        <w:rPr>
          <w:rStyle w:val="32"/>
          <w:rFonts w:hint="eastAsia" w:ascii="仿宋" w:hAnsi="仿宋" w:eastAsia="仿宋"/>
          <w:b w:val="0"/>
          <w:bCs w:val="0"/>
        </w:rPr>
        <w:t>五、</w:t>
      </w:r>
      <w:r>
        <w:rPr>
          <w:rFonts w:hint="eastAsia" w:ascii="仿宋" w:hAnsi="仿宋" w:eastAsia="仿宋"/>
          <w:b w:val="0"/>
          <w:color w:val="000000"/>
        </w:rPr>
        <w:t>一</w:t>
      </w:r>
      <w:r>
        <w:rPr>
          <w:rStyle w:val="32"/>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6"/>
      <w:r>
        <w:rPr>
          <w:rStyle w:val="32"/>
          <w:rFonts w:hint="eastAsia" w:ascii="仿宋" w:hAnsi="仿宋" w:eastAsia="仿宋"/>
          <w:b w:val="0"/>
          <w:bCs w:val="0"/>
        </w:rPr>
        <w:t>六、</w:t>
      </w:r>
      <w:r>
        <w:rPr>
          <w:rFonts w:hint="eastAsia" w:ascii="仿宋" w:hAnsi="仿宋" w:eastAsia="仿宋"/>
          <w:b w:val="0"/>
          <w:color w:val="000000"/>
        </w:rPr>
        <w:t>一</w:t>
      </w:r>
      <w:r>
        <w:rPr>
          <w:rStyle w:val="32"/>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8"/>
      <w:r>
        <w:rPr>
          <w:rStyle w:val="32"/>
          <w:rFonts w:hint="eastAsia" w:ascii="仿宋" w:hAnsi="仿宋" w:eastAsia="仿宋"/>
          <w:b w:val="0"/>
          <w:bCs w:val="0"/>
        </w:rPr>
        <w:t>七、</w:t>
      </w:r>
      <w:r>
        <w:rPr>
          <w:rFonts w:hint="eastAsia" w:ascii="仿宋" w:hAnsi="仿宋" w:eastAsia="仿宋"/>
          <w:b w:val="0"/>
          <w:color w:val="000000"/>
        </w:rPr>
        <w:t>一</w:t>
      </w:r>
      <w:r>
        <w:rPr>
          <w:rStyle w:val="32"/>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32"/>
          <w:rFonts w:hint="eastAsia" w:ascii="仿宋" w:hAnsi="仿宋" w:eastAsia="仿宋"/>
          <w:b w:val="0"/>
          <w:bCs w:val="0"/>
        </w:rPr>
        <w:t>八、</w:t>
      </w:r>
      <w:r>
        <w:rPr>
          <w:rFonts w:hint="eastAsia" w:ascii="仿宋" w:hAnsi="仿宋" w:eastAsia="仿宋"/>
          <w:b w:val="0"/>
          <w:color w:val="000000"/>
        </w:rPr>
        <w:t>政</w:t>
      </w:r>
      <w:r>
        <w:rPr>
          <w:rStyle w:val="32"/>
          <w:rFonts w:hint="eastAsia" w:ascii="仿宋" w:hAnsi="仿宋" w:eastAsia="仿宋"/>
          <w:b w:val="0"/>
          <w:bCs w:val="0"/>
        </w:rPr>
        <w:t>府性基金预算财政拨款收入支出决算表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6CD"/>
    <w:rsid w:val="00202B36"/>
    <w:rsid w:val="00204B7A"/>
    <w:rsid w:val="0021101A"/>
    <w:rsid w:val="00220536"/>
    <w:rsid w:val="00235629"/>
    <w:rsid w:val="00251CC8"/>
    <w:rsid w:val="00260C38"/>
    <w:rsid w:val="002616C0"/>
    <w:rsid w:val="002662AA"/>
    <w:rsid w:val="00280496"/>
    <w:rsid w:val="00295495"/>
    <w:rsid w:val="002B2613"/>
    <w:rsid w:val="002D6F3A"/>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6115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13A2"/>
    <w:rsid w:val="007416B6"/>
    <w:rsid w:val="00746F48"/>
    <w:rsid w:val="00747D14"/>
    <w:rsid w:val="0075404D"/>
    <w:rsid w:val="0076182A"/>
    <w:rsid w:val="00767B7E"/>
    <w:rsid w:val="007770C3"/>
    <w:rsid w:val="00784D24"/>
    <w:rsid w:val="00785FBA"/>
    <w:rsid w:val="00786283"/>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E44F6"/>
    <w:rsid w:val="00CE49DA"/>
    <w:rsid w:val="00CE7B61"/>
    <w:rsid w:val="00D00095"/>
    <w:rsid w:val="00D11960"/>
    <w:rsid w:val="00D20620"/>
    <w:rsid w:val="00D26091"/>
    <w:rsid w:val="00D34E7C"/>
    <w:rsid w:val="00D35489"/>
    <w:rsid w:val="00D51276"/>
    <w:rsid w:val="00D7035F"/>
    <w:rsid w:val="00DA65AC"/>
    <w:rsid w:val="00DB1913"/>
    <w:rsid w:val="00DC410D"/>
    <w:rsid w:val="00DC68CA"/>
    <w:rsid w:val="00DC7CBA"/>
    <w:rsid w:val="00DD73B7"/>
    <w:rsid w:val="00DE2E9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2411E"/>
    <w:rsid w:val="00F36D8F"/>
    <w:rsid w:val="00F417B1"/>
    <w:rsid w:val="00F602DF"/>
    <w:rsid w:val="00F749A6"/>
    <w:rsid w:val="00F81FD9"/>
    <w:rsid w:val="00F841AA"/>
    <w:rsid w:val="00FA23E8"/>
    <w:rsid w:val="00FD3CC1"/>
    <w:rsid w:val="00FF1E02"/>
    <w:rsid w:val="00FF30B4"/>
    <w:rsid w:val="02364EE8"/>
    <w:rsid w:val="03074294"/>
    <w:rsid w:val="044E7D74"/>
    <w:rsid w:val="09AB7FE3"/>
    <w:rsid w:val="0A00346A"/>
    <w:rsid w:val="0A187AF2"/>
    <w:rsid w:val="0AED1B2E"/>
    <w:rsid w:val="0BCD5B38"/>
    <w:rsid w:val="0C526B7D"/>
    <w:rsid w:val="0CAD4160"/>
    <w:rsid w:val="0D750041"/>
    <w:rsid w:val="0F397745"/>
    <w:rsid w:val="0F533565"/>
    <w:rsid w:val="0F5463AB"/>
    <w:rsid w:val="102A29FF"/>
    <w:rsid w:val="10C055FF"/>
    <w:rsid w:val="12EE333F"/>
    <w:rsid w:val="13823BF6"/>
    <w:rsid w:val="13DA55A3"/>
    <w:rsid w:val="15910AFC"/>
    <w:rsid w:val="16BB723D"/>
    <w:rsid w:val="17B529FA"/>
    <w:rsid w:val="187D263F"/>
    <w:rsid w:val="1D8B3D41"/>
    <w:rsid w:val="1EBC663F"/>
    <w:rsid w:val="1FC17A04"/>
    <w:rsid w:val="1FEC2087"/>
    <w:rsid w:val="20347285"/>
    <w:rsid w:val="20ED4A40"/>
    <w:rsid w:val="217C2368"/>
    <w:rsid w:val="22F95735"/>
    <w:rsid w:val="240371BF"/>
    <w:rsid w:val="241B3F8D"/>
    <w:rsid w:val="245D43F8"/>
    <w:rsid w:val="247A32FC"/>
    <w:rsid w:val="24E34918"/>
    <w:rsid w:val="257846D0"/>
    <w:rsid w:val="27522395"/>
    <w:rsid w:val="27744645"/>
    <w:rsid w:val="2785327F"/>
    <w:rsid w:val="285706AE"/>
    <w:rsid w:val="298C6C8F"/>
    <w:rsid w:val="299F2C8D"/>
    <w:rsid w:val="29C9448F"/>
    <w:rsid w:val="29FD04D3"/>
    <w:rsid w:val="2A50225A"/>
    <w:rsid w:val="2A6E24BE"/>
    <w:rsid w:val="2A84576B"/>
    <w:rsid w:val="2A8E1182"/>
    <w:rsid w:val="2C2E5744"/>
    <w:rsid w:val="2C7F4E84"/>
    <w:rsid w:val="2C9A7558"/>
    <w:rsid w:val="2CDD7ACA"/>
    <w:rsid w:val="2D0E4D05"/>
    <w:rsid w:val="2DDA2293"/>
    <w:rsid w:val="30DB20C0"/>
    <w:rsid w:val="3125775D"/>
    <w:rsid w:val="319F7F4E"/>
    <w:rsid w:val="330E78AE"/>
    <w:rsid w:val="34932E94"/>
    <w:rsid w:val="358834AE"/>
    <w:rsid w:val="36A06560"/>
    <w:rsid w:val="37DB7A20"/>
    <w:rsid w:val="39557941"/>
    <w:rsid w:val="399B0346"/>
    <w:rsid w:val="3A436BF7"/>
    <w:rsid w:val="3AD520C4"/>
    <w:rsid w:val="3B6532D5"/>
    <w:rsid w:val="3BA60659"/>
    <w:rsid w:val="3BF60BF3"/>
    <w:rsid w:val="3D2951B0"/>
    <w:rsid w:val="3D7175CD"/>
    <w:rsid w:val="3E8B7793"/>
    <w:rsid w:val="3E977F42"/>
    <w:rsid w:val="3EB67B01"/>
    <w:rsid w:val="3EFC43CA"/>
    <w:rsid w:val="402E3FFE"/>
    <w:rsid w:val="41D43658"/>
    <w:rsid w:val="443D2AF4"/>
    <w:rsid w:val="45515499"/>
    <w:rsid w:val="48E31887"/>
    <w:rsid w:val="494A4DCA"/>
    <w:rsid w:val="49FF337D"/>
    <w:rsid w:val="4A967F4C"/>
    <w:rsid w:val="4B5515CF"/>
    <w:rsid w:val="4B977281"/>
    <w:rsid w:val="4BAC512F"/>
    <w:rsid w:val="4C7610F4"/>
    <w:rsid w:val="4C7D6732"/>
    <w:rsid w:val="50733C78"/>
    <w:rsid w:val="50E45DB5"/>
    <w:rsid w:val="516F4651"/>
    <w:rsid w:val="526D3F60"/>
    <w:rsid w:val="52F62EB6"/>
    <w:rsid w:val="53542939"/>
    <w:rsid w:val="5357464E"/>
    <w:rsid w:val="538230DB"/>
    <w:rsid w:val="53910ECF"/>
    <w:rsid w:val="54B80FC8"/>
    <w:rsid w:val="55106EEA"/>
    <w:rsid w:val="558B2DB4"/>
    <w:rsid w:val="55BE53B8"/>
    <w:rsid w:val="55F02A2B"/>
    <w:rsid w:val="57181227"/>
    <w:rsid w:val="58FF2E06"/>
    <w:rsid w:val="599261BE"/>
    <w:rsid w:val="5BE9023B"/>
    <w:rsid w:val="5CA42A16"/>
    <w:rsid w:val="5D716A3C"/>
    <w:rsid w:val="5DAC3FCF"/>
    <w:rsid w:val="5E2771DF"/>
    <w:rsid w:val="5E37110F"/>
    <w:rsid w:val="5E64597D"/>
    <w:rsid w:val="5F9351D4"/>
    <w:rsid w:val="5F9B6CAC"/>
    <w:rsid w:val="605836AA"/>
    <w:rsid w:val="61A330CA"/>
    <w:rsid w:val="641D6FD7"/>
    <w:rsid w:val="64CD1A84"/>
    <w:rsid w:val="656C5363"/>
    <w:rsid w:val="659F5EDB"/>
    <w:rsid w:val="65C72D71"/>
    <w:rsid w:val="6619021B"/>
    <w:rsid w:val="66A630D4"/>
    <w:rsid w:val="67EB01E2"/>
    <w:rsid w:val="687A7D05"/>
    <w:rsid w:val="68BF5484"/>
    <w:rsid w:val="69CB2D96"/>
    <w:rsid w:val="6A1E48B4"/>
    <w:rsid w:val="6B352A9B"/>
    <w:rsid w:val="6D677EE5"/>
    <w:rsid w:val="6DD8616E"/>
    <w:rsid w:val="6DE96A81"/>
    <w:rsid w:val="6EB731BC"/>
    <w:rsid w:val="6F701732"/>
    <w:rsid w:val="7090149C"/>
    <w:rsid w:val="72353813"/>
    <w:rsid w:val="726937C6"/>
    <w:rsid w:val="73EF3746"/>
    <w:rsid w:val="748C4598"/>
    <w:rsid w:val="74A83566"/>
    <w:rsid w:val="75F5320A"/>
    <w:rsid w:val="7646382E"/>
    <w:rsid w:val="76557D07"/>
    <w:rsid w:val="769421CC"/>
    <w:rsid w:val="77CA44C8"/>
    <w:rsid w:val="77E01541"/>
    <w:rsid w:val="78610D1C"/>
    <w:rsid w:val="7967111E"/>
    <w:rsid w:val="797B4B99"/>
    <w:rsid w:val="7B5A6C95"/>
    <w:rsid w:val="7C4327F7"/>
    <w:rsid w:val="7CC32281"/>
    <w:rsid w:val="7E4E0C7C"/>
    <w:rsid w:val="7E53217A"/>
    <w:rsid w:val="7E733881"/>
    <w:rsid w:val="7FB569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8"/>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4"/>
    <w:semiHidden/>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FollowedHyperlink"/>
    <w:basedOn w:val="14"/>
    <w:semiHidden/>
    <w:unhideWhenUsed/>
    <w:uiPriority w:val="99"/>
    <w:rPr>
      <w:color w:val="333333"/>
      <w:u w:val="none"/>
    </w:rPr>
  </w:style>
  <w:style w:type="character" w:styleId="17">
    <w:name w:val="HTML Definition"/>
    <w:basedOn w:val="14"/>
    <w:semiHidden/>
    <w:unhideWhenUsed/>
    <w:uiPriority w:val="99"/>
    <w:rPr>
      <w:i/>
    </w:rPr>
  </w:style>
  <w:style w:type="character" w:styleId="18">
    <w:name w:val="HTML Acronym"/>
    <w:basedOn w:val="14"/>
    <w:semiHidden/>
    <w:unhideWhenUsed/>
    <w:uiPriority w:val="99"/>
  </w:style>
  <w:style w:type="character" w:styleId="19">
    <w:name w:val="Hyperlink"/>
    <w:basedOn w:val="14"/>
    <w:unhideWhenUsed/>
    <w:qFormat/>
    <w:uiPriority w:val="99"/>
    <w:rPr>
      <w:color w:val="0000FF" w:themeColor="hyperlink"/>
      <w:u w:val="single"/>
      <w14:textFill>
        <w14:solidFill>
          <w14:schemeClr w14:val="hlink"/>
        </w14:solidFill>
      </w14:textFill>
    </w:rPr>
  </w:style>
  <w:style w:type="character" w:styleId="20">
    <w:name w:val="HTML Code"/>
    <w:basedOn w:val="14"/>
    <w:semiHidden/>
    <w:unhideWhenUsed/>
    <w:uiPriority w:val="99"/>
    <w:rPr>
      <w:rFonts w:hint="default" w:ascii="monospace" w:hAnsi="monospace" w:eastAsia="monospace" w:cs="monospace"/>
      <w:sz w:val="21"/>
      <w:szCs w:val="21"/>
    </w:rPr>
  </w:style>
  <w:style w:type="character" w:styleId="21">
    <w:name w:val="HTML Keyboard"/>
    <w:basedOn w:val="14"/>
    <w:semiHidden/>
    <w:unhideWhenUsed/>
    <w:uiPriority w:val="99"/>
    <w:rPr>
      <w:rFonts w:hint="default" w:ascii="monospace" w:hAnsi="monospace" w:eastAsia="monospace" w:cs="monospace"/>
      <w:sz w:val="21"/>
      <w:szCs w:val="21"/>
    </w:rPr>
  </w:style>
  <w:style w:type="character" w:styleId="22">
    <w:name w:val="HTML Sample"/>
    <w:basedOn w:val="14"/>
    <w:semiHidden/>
    <w:unhideWhenUsed/>
    <w:uiPriority w:val="99"/>
    <w:rPr>
      <w:rFonts w:ascii="monospace" w:hAnsi="monospace" w:eastAsia="monospace" w:cs="monospace"/>
      <w:sz w:val="21"/>
      <w:szCs w:val="21"/>
    </w:rPr>
  </w:style>
  <w:style w:type="character" w:customStyle="1" w:styleId="23">
    <w:name w:val="Header Char"/>
    <w:basedOn w:val="14"/>
    <w:semiHidden/>
    <w:qFormat/>
    <w:uiPriority w:val="99"/>
    <w:rPr>
      <w:rFonts w:ascii="Times New Roman" w:hAnsi="Times New Roman"/>
      <w:sz w:val="18"/>
      <w:szCs w:val="18"/>
    </w:rPr>
  </w:style>
  <w:style w:type="character" w:customStyle="1" w:styleId="24">
    <w:name w:val="页眉 Char"/>
    <w:link w:val="9"/>
    <w:semiHidden/>
    <w:qFormat/>
    <w:locked/>
    <w:uiPriority w:val="99"/>
    <w:rPr>
      <w:sz w:val="18"/>
    </w:rPr>
  </w:style>
  <w:style w:type="character" w:customStyle="1" w:styleId="25">
    <w:name w:val="Footer Char"/>
    <w:basedOn w:val="14"/>
    <w:semiHidden/>
    <w:qFormat/>
    <w:uiPriority w:val="99"/>
    <w:rPr>
      <w:rFonts w:ascii="Times New Roman" w:hAnsi="Times New Roman"/>
      <w:sz w:val="18"/>
      <w:szCs w:val="18"/>
    </w:rPr>
  </w:style>
  <w:style w:type="character" w:customStyle="1" w:styleId="26">
    <w:name w:val="页脚 Char"/>
    <w:link w:val="8"/>
    <w:qFormat/>
    <w:locked/>
    <w:uiPriority w:val="99"/>
    <w:rPr>
      <w:sz w:val="18"/>
    </w:rPr>
  </w:style>
  <w:style w:type="character" w:customStyle="1" w:styleId="27">
    <w:name w:val="Body Text Char"/>
    <w:basedOn w:val="14"/>
    <w:semiHidden/>
    <w:qFormat/>
    <w:uiPriority w:val="99"/>
    <w:rPr>
      <w:rFonts w:ascii="Times New Roman" w:hAnsi="Times New Roman"/>
      <w:szCs w:val="24"/>
    </w:rPr>
  </w:style>
  <w:style w:type="character" w:customStyle="1" w:styleId="28">
    <w:name w:val="正文文本 Char"/>
    <w:link w:val="5"/>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4"/>
    <w:link w:val="2"/>
    <w:qFormat/>
    <w:uiPriority w:val="9"/>
    <w:rPr>
      <w:rFonts w:ascii="Times New Roman" w:hAnsi="Times New Roman"/>
      <w:b/>
      <w:bCs/>
      <w:kern w:val="44"/>
      <w:sz w:val="44"/>
      <w:szCs w:val="44"/>
    </w:rPr>
  </w:style>
  <w:style w:type="character" w:customStyle="1" w:styleId="32">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4"/>
    <w:link w:val="7"/>
    <w:semiHidden/>
    <w:qFormat/>
    <w:uiPriority w:val="99"/>
    <w:rPr>
      <w:rFonts w:ascii="Times New Roman" w:hAnsi="Times New Roman"/>
      <w:kern w:val="2"/>
      <w:sz w:val="18"/>
      <w:szCs w:val="18"/>
    </w:rPr>
  </w:style>
  <w:style w:type="character" w:customStyle="1" w:styleId="35">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8625106746371"/>
          <c:y val="0.00634920634920635"/>
        </c:manualLayout>
      </c:layout>
      <c:overlay val="0"/>
      <c:spPr>
        <a:noFill/>
        <a:ln>
          <a:noFill/>
        </a:ln>
        <a:effectLst/>
      </c:spPr>
      <c:tx>
        <c:rich>
          <a:bodyPr/>
          <a:lstStyle/>
          <a:p>
            <a:pPr>
              <a:defRPr/>
            </a:pPr>
          </a:p>
        </c:rich>
      </c:tx>
    </c:title>
    <c:autoTitleDeleted val="0"/>
    <c:plotArea>
      <c:layout>
        <c:manualLayout>
          <c:layoutTarget val="inner"/>
          <c:xMode val="edge"/>
          <c:yMode val="edge"/>
          <c:x val="0.0865205959684487"/>
          <c:y val="0.323448275862069"/>
          <c:w val="0.867028921998247"/>
          <c:h val="0.60951724137931"/>
        </c:manualLayout>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收入总计</c:v>
                </c:pt>
                <c:pt idx="1">
                  <c:v>支出总计</c:v>
                </c:pt>
              </c:strCache>
            </c:strRef>
          </c:cat>
          <c:val>
            <c:numRef>
              <c:f>Sheet1!$B$2:$B$3</c:f>
              <c:numCache>
                <c:formatCode>General</c:formatCode>
                <c:ptCount val="2"/>
                <c:pt idx="0">
                  <c:v>298.53</c:v>
                </c:pt>
                <c:pt idx="1">
                  <c:v>298.53</c:v>
                </c:pt>
              </c:numCache>
            </c:numRef>
          </c:val>
        </c:ser>
        <c:ser>
          <c:idx val="1"/>
          <c:order val="1"/>
          <c:tx>
            <c:strRef>
              <c:f>Sheet1!$C$1</c:f>
              <c:strCache>
                <c:ptCount val="1"/>
                <c:pt idx="0">
                  <c:v>2018年度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收入总计</c:v>
                </c:pt>
                <c:pt idx="1">
                  <c:v>支出总计</c:v>
                </c:pt>
              </c:strCache>
            </c:strRef>
          </c:cat>
          <c:val>
            <c:numRef>
              <c:f>Sheet1!$C$2:$C$3</c:f>
              <c:numCache>
                <c:formatCode>General</c:formatCode>
                <c:ptCount val="2"/>
                <c:pt idx="0">
                  <c:v>212.49</c:v>
                </c:pt>
                <c:pt idx="1">
                  <c:v>212.49</c:v>
                </c:pt>
              </c:numCache>
            </c:numRef>
          </c:val>
        </c:ser>
        <c:dLbls>
          <c:showLegendKey val="0"/>
          <c:showVal val="1"/>
          <c:showCatName val="0"/>
          <c:showSerName val="0"/>
          <c:showPercent val="0"/>
          <c:showBubbleSize val="0"/>
        </c:dLbls>
        <c:gapWidth val="219"/>
        <c:overlap val="-27"/>
        <c:axId val="758398394"/>
        <c:axId val="607178897"/>
      </c:barChart>
      <c:catAx>
        <c:axId val="75839839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178897"/>
        <c:crosses val="autoZero"/>
        <c:auto val="1"/>
        <c:lblAlgn val="ctr"/>
        <c:lblOffset val="100"/>
        <c:noMultiLvlLbl val="0"/>
      </c:catAx>
      <c:valAx>
        <c:axId val="60717889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398394"/>
        <c:crosses val="autoZero"/>
        <c:crossBetween val="between"/>
      </c:valAx>
      <c:spPr>
        <a:noFill/>
        <a:ln>
          <a:noFill/>
        </a:ln>
        <a:effectLst/>
      </c:spPr>
    </c:plotArea>
    <c:legend>
      <c:legendPos val="b"/>
      <c:layout>
        <c:manualLayout>
          <c:xMode val="edge"/>
          <c:yMode val="edge"/>
          <c:x val="0.0442356959863365"/>
          <c:y val="0.133333333333333"/>
          <c:w val="0.337660119555935"/>
          <c:h val="0.1015873015873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298.53</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298.53</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0865205959684487"/>
          <c:y val="0.323448275862069"/>
          <c:w val="0.867028921998247"/>
          <c:h val="0.60951724137931"/>
        </c:manualLayout>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收入总计</c:v>
                </c:pt>
                <c:pt idx="1">
                  <c:v>支出总计</c:v>
                </c:pt>
              </c:strCache>
            </c:strRef>
          </c:cat>
          <c:val>
            <c:numRef>
              <c:f>Sheet1!$B$2:$B$3</c:f>
              <c:numCache>
                <c:formatCode>General</c:formatCode>
                <c:ptCount val="2"/>
                <c:pt idx="0">
                  <c:v>298.53</c:v>
                </c:pt>
                <c:pt idx="1">
                  <c:v>298.53</c:v>
                </c:pt>
              </c:numCache>
            </c:numRef>
          </c:val>
        </c:ser>
        <c:ser>
          <c:idx val="1"/>
          <c:order val="1"/>
          <c:tx>
            <c:strRef>
              <c:f>Sheet1!$C$1</c:f>
              <c:strCache>
                <c:ptCount val="1"/>
                <c:pt idx="0">
                  <c:v>2018年度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收入总计</c:v>
                </c:pt>
                <c:pt idx="1">
                  <c:v>支出总计</c:v>
                </c:pt>
              </c:strCache>
            </c:strRef>
          </c:cat>
          <c:val>
            <c:numRef>
              <c:f>Sheet1!$C$2:$C$3</c:f>
              <c:numCache>
                <c:formatCode>General</c:formatCode>
                <c:ptCount val="2"/>
                <c:pt idx="0">
                  <c:v>212.49</c:v>
                </c:pt>
                <c:pt idx="1">
                  <c:v>212.49</c:v>
                </c:pt>
              </c:numCache>
            </c:numRef>
          </c:val>
        </c:ser>
        <c:dLbls>
          <c:showLegendKey val="0"/>
          <c:showVal val="1"/>
          <c:showCatName val="0"/>
          <c:showSerName val="0"/>
          <c:showPercent val="0"/>
          <c:showBubbleSize val="0"/>
        </c:dLbls>
        <c:gapWidth val="219"/>
        <c:overlap val="-27"/>
        <c:axId val="758398394"/>
        <c:axId val="607178897"/>
      </c:barChart>
      <c:catAx>
        <c:axId val="75839839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178897"/>
        <c:crosses val="autoZero"/>
        <c:auto val="1"/>
        <c:lblAlgn val="ctr"/>
        <c:lblOffset val="100"/>
        <c:noMultiLvlLbl val="0"/>
      </c:catAx>
      <c:valAx>
        <c:axId val="60717889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398394"/>
        <c:crosses val="autoZero"/>
        <c:crossBetween val="between"/>
      </c:valAx>
      <c:spPr>
        <a:noFill/>
        <a:ln>
          <a:noFill/>
        </a:ln>
        <a:effectLst/>
      </c:spPr>
    </c:plotArea>
    <c:legend>
      <c:legendPos val="b"/>
      <c:layout>
        <c:manualLayout>
          <c:xMode val="edge"/>
          <c:yMode val="edge"/>
          <c:x val="0.0442356959863365"/>
          <c:y val="0.133333333333333"/>
          <c:w val="0.337660119555935"/>
          <c:h val="0.1015873015873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9154568744663"/>
          <c:y val="0.0317460317460317"/>
        </c:manualLayout>
      </c:layout>
      <c:overlay val="0"/>
      <c:spPr>
        <a:noFill/>
        <a:ln>
          <a:noFill/>
        </a:ln>
        <a:effectLst/>
      </c:spPr>
      <c:tx>
        <c:rich>
          <a:bodyPr/>
          <a:lstStyle/>
          <a:p>
            <a:pPr>
              <a:defRPr/>
            </a:pPr>
          </a:p>
        </c:rich>
      </c:tx>
    </c:title>
    <c:autoTitleDeleted val="0"/>
    <c:plotArea>
      <c:layout>
        <c:manualLayout>
          <c:layoutTarget val="inner"/>
          <c:xMode val="edge"/>
          <c:yMode val="edge"/>
          <c:x val="0.0865205959684487"/>
          <c:y val="0.323448275862069"/>
          <c:w val="0.867028921998247"/>
          <c:h val="0.60951724137931"/>
        </c:manualLayout>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一般公共财政拨款支出</c:v>
                </c:pt>
              </c:strCache>
            </c:strRef>
          </c:cat>
          <c:val>
            <c:numRef>
              <c:f>Sheet1!$B$2</c:f>
              <c:numCache>
                <c:formatCode>General</c:formatCode>
                <c:ptCount val="1"/>
                <c:pt idx="0">
                  <c:v>298.53</c:v>
                </c:pt>
              </c:numCache>
            </c:numRef>
          </c:val>
        </c:ser>
        <c:ser>
          <c:idx val="1"/>
          <c:order val="1"/>
          <c:tx>
            <c:strRef>
              <c:f>Sheet1!$C$1</c:f>
              <c:strCache>
                <c:ptCount val="1"/>
                <c:pt idx="0">
                  <c:v>2018年度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一般公共财政拨款支出</c:v>
                </c:pt>
              </c:strCache>
            </c:strRef>
          </c:cat>
          <c:val>
            <c:numRef>
              <c:f>Sheet1!$C$2</c:f>
              <c:numCache>
                <c:formatCode>General</c:formatCode>
                <c:ptCount val="1"/>
                <c:pt idx="0">
                  <c:v>212.49</c:v>
                </c:pt>
              </c:numCache>
            </c:numRef>
          </c:val>
        </c:ser>
        <c:dLbls>
          <c:showLegendKey val="0"/>
          <c:showVal val="1"/>
          <c:showCatName val="0"/>
          <c:showSerName val="0"/>
          <c:showPercent val="0"/>
          <c:showBubbleSize val="0"/>
        </c:dLbls>
        <c:gapWidth val="219"/>
        <c:overlap val="-27"/>
        <c:axId val="758398394"/>
        <c:axId val="607178897"/>
      </c:barChart>
      <c:catAx>
        <c:axId val="75839839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178897"/>
        <c:crosses val="autoZero"/>
        <c:auto val="1"/>
        <c:lblAlgn val="ctr"/>
        <c:lblOffset val="100"/>
        <c:noMultiLvlLbl val="0"/>
      </c:catAx>
      <c:valAx>
        <c:axId val="60717889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398394"/>
        <c:crosses val="autoZero"/>
        <c:crossBetween val="between"/>
      </c:valAx>
      <c:spPr>
        <a:noFill/>
        <a:ln>
          <a:noFill/>
        </a:ln>
        <a:effectLst/>
      </c:spPr>
    </c:plotArea>
    <c:legend>
      <c:legendPos val="b"/>
      <c:layout>
        <c:manualLayout>
          <c:xMode val="edge"/>
          <c:yMode val="edge"/>
          <c:x val="0.0467976088812981"/>
          <c:y val="0.142857142857143"/>
          <c:w val="0.337660119555935"/>
          <c:h val="0.1015873015873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Sheet1!$A$2:$A$7</c:f>
              <c:strCache>
                <c:ptCount val="6"/>
                <c:pt idx="0">
                  <c:v>一般公共服务类</c:v>
                </c:pt>
                <c:pt idx="1">
                  <c:v>教育支出类</c:v>
                </c:pt>
                <c:pt idx="2">
                  <c:v>科学技术类</c:v>
                </c:pt>
                <c:pt idx="3">
                  <c:v>社会保障和就业</c:v>
                </c:pt>
                <c:pt idx="4">
                  <c:v>医疗卫生支出</c:v>
                </c:pt>
                <c:pt idx="5">
                  <c:v>住房保障支出</c:v>
                </c:pt>
              </c:strCache>
            </c:strRef>
          </c:cat>
          <c:val>
            <c:numRef>
              <c:f>Sheet1!$B$2:$B$7</c:f>
              <c:numCache>
                <c:formatCode>General</c:formatCode>
                <c:ptCount val="6"/>
                <c:pt idx="0">
                  <c:v>272.18</c:v>
                </c:pt>
                <c:pt idx="1">
                  <c:v>0</c:v>
                </c:pt>
                <c:pt idx="2">
                  <c:v>0</c:v>
                </c:pt>
                <c:pt idx="3">
                  <c:v>12.1</c:v>
                </c:pt>
                <c:pt idx="4">
                  <c:v>7.57</c:v>
                </c:pt>
                <c:pt idx="5">
                  <c:v>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c:v>
                </c:pt>
                <c:pt idx="1">
                  <c:v>社会保障和就业</c:v>
                </c:pt>
                <c:pt idx="2">
                  <c:v>卫生健康支出</c:v>
                </c:pt>
                <c:pt idx="3">
                  <c:v>住房保障支出</c:v>
                </c:pt>
              </c:strCache>
            </c:strRef>
          </c:cat>
          <c:val>
            <c:numRef>
              <c:f>Sheet1!$B$2:$B$5</c:f>
              <c:numCache>
                <c:formatCode>General</c:formatCode>
                <c:ptCount val="4"/>
                <c:pt idx="0">
                  <c:v>177.54</c:v>
                </c:pt>
                <c:pt idx="1">
                  <c:v>106.69</c:v>
                </c:pt>
                <c:pt idx="2">
                  <c:v>7.6</c:v>
                </c:pt>
                <c:pt idx="3">
                  <c:v>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2019年三公经费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992</Words>
  <Characters>5656</Characters>
  <Lines>47</Lines>
  <Paragraphs>13</Paragraphs>
  <TotalTime>32</TotalTime>
  <ScaleCrop>false</ScaleCrop>
  <LinksUpToDate>false</LinksUpToDate>
  <CharactersWithSpaces>6635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2020-08-25T00:21:18Z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