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3B" w:rsidRDefault="00747D3B" w:rsidP="00747D3B">
      <w:pPr>
        <w:jc w:val="center"/>
        <w:rPr>
          <w:rFonts w:ascii="黑体" w:eastAsia="黑体" w:hAnsi="黑体" w:cs="黑体"/>
          <w:sz w:val="44"/>
          <w:szCs w:val="44"/>
        </w:rPr>
      </w:pPr>
      <w:r>
        <w:rPr>
          <w:rFonts w:ascii="黑体" w:eastAsia="黑体" w:hAnsi="黑体" w:cs="黑体" w:hint="eastAsia"/>
          <w:sz w:val="44"/>
          <w:szCs w:val="44"/>
        </w:rPr>
        <w:t>南江县米仓山国家森林公园管理局    2020年部门预算编制说明</w:t>
      </w:r>
    </w:p>
    <w:p w:rsidR="00747D3B" w:rsidRDefault="00747D3B" w:rsidP="00747D3B">
      <w:pPr>
        <w:ind w:firstLineChars="200" w:firstLine="640"/>
        <w:rPr>
          <w:rFonts w:ascii="黑体" w:eastAsia="黑体" w:hAnsi="黑体" w:cs="黑体"/>
          <w:sz w:val="32"/>
          <w:szCs w:val="32"/>
        </w:rPr>
      </w:pPr>
    </w:p>
    <w:p w:rsidR="00747D3B" w:rsidRDefault="00747D3B" w:rsidP="00747D3B">
      <w:pPr>
        <w:numPr>
          <w:ilvl w:val="0"/>
          <w:numId w:val="1"/>
        </w:numPr>
        <w:ind w:firstLineChars="200" w:firstLine="640"/>
        <w:rPr>
          <w:rFonts w:ascii="仿宋" w:eastAsia="仿宋" w:hAnsi="仿宋" w:cs="仿宋"/>
          <w:color w:val="0000FF"/>
          <w:sz w:val="32"/>
          <w:szCs w:val="32"/>
        </w:rPr>
      </w:pPr>
      <w:r>
        <w:rPr>
          <w:rFonts w:ascii="黑体" w:eastAsia="黑体" w:hAnsi="黑体" w:cs="黑体" w:hint="eastAsia"/>
          <w:sz w:val="32"/>
          <w:szCs w:val="32"/>
        </w:rPr>
        <w:t>基本职能及主要工作</w:t>
      </w:r>
    </w:p>
    <w:p w:rsidR="00747D3B" w:rsidRPr="00A20911" w:rsidRDefault="00747D3B" w:rsidP="00747D3B">
      <w:pPr>
        <w:numPr>
          <w:ilvl w:val="0"/>
          <w:numId w:val="2"/>
        </w:numPr>
        <w:ind w:firstLineChars="200" w:firstLine="640"/>
        <w:rPr>
          <w:rFonts w:ascii="仿宋" w:eastAsia="仿宋" w:hAnsi="仿宋" w:cs="仿宋"/>
          <w:sz w:val="32"/>
          <w:szCs w:val="32"/>
        </w:rPr>
      </w:pPr>
      <w:r w:rsidRPr="00A20911">
        <w:rPr>
          <w:rFonts w:ascii="仿宋" w:eastAsia="仿宋" w:hAnsi="仿宋" w:cs="仿宋" w:hint="eastAsia"/>
          <w:sz w:val="32"/>
          <w:szCs w:val="32"/>
        </w:rPr>
        <w:t>基本职能职责</w:t>
      </w:r>
    </w:p>
    <w:p w:rsidR="00525ABA" w:rsidRPr="00525ABA" w:rsidRDefault="00525ABA" w:rsidP="00525ABA">
      <w:pPr>
        <w:spacing w:line="530" w:lineRule="exact"/>
        <w:ind w:firstLineChars="250" w:firstLine="800"/>
        <w:rPr>
          <w:rFonts w:ascii="仿宋" w:eastAsia="仿宋" w:hAnsi="仿宋" w:cs="仿宋" w:hint="eastAsia"/>
          <w:color w:val="0000FF"/>
          <w:sz w:val="32"/>
          <w:szCs w:val="32"/>
        </w:rPr>
      </w:pPr>
      <w:r w:rsidRPr="00525ABA">
        <w:rPr>
          <w:rFonts w:ascii="仿宋" w:eastAsia="仿宋" w:hAnsi="仿宋" w:cs="仿宋" w:hint="eastAsia"/>
          <w:sz w:val="32"/>
          <w:szCs w:val="32"/>
        </w:rPr>
        <w:t>1.宣传贯彻国家有关法律法规,依法制定相关的实施办法,保护和合理利用森林资源;2.组织米仓山国家森林公园发展总体规划和详细规划的编制并实施；3.负责指导、督查米仓山森林旅游资源管理、开发与建设的管理、安全稳定及社会事务管理;4.指导、督查各林场做好森林资源、野生动植物资源、水资源、环境的保护和护林防火、林业有害生物防治等工作；5.接受旅游行政主管部门的行业管理，负责米仓山森林旅游资源开发与建设的管理和指导；6.负责保护区内生态旅游、森林康养等工作；7.完成上级主管部门交办的临时性工作。</w:t>
      </w:r>
    </w:p>
    <w:p w:rsidR="00747D3B" w:rsidRDefault="00747D3B" w:rsidP="00525ABA">
      <w:pPr>
        <w:ind w:firstLineChars="100" w:firstLine="320"/>
        <w:rPr>
          <w:rFonts w:ascii="仿宋" w:eastAsia="仿宋" w:hAnsi="仿宋" w:cs="仿宋" w:hint="eastAsia"/>
          <w:sz w:val="32"/>
          <w:szCs w:val="32"/>
        </w:rPr>
      </w:pPr>
      <w:r w:rsidRPr="00A20911">
        <w:rPr>
          <w:rFonts w:ascii="仿宋" w:eastAsia="仿宋" w:hAnsi="仿宋" w:cs="仿宋" w:hint="eastAsia"/>
          <w:sz w:val="32"/>
          <w:szCs w:val="32"/>
        </w:rPr>
        <w:t>（二）2020年重点工作</w:t>
      </w:r>
    </w:p>
    <w:p w:rsidR="00525ABA" w:rsidRDefault="00525ABA" w:rsidP="00525ABA">
      <w:pPr>
        <w:spacing w:line="53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1.宣传贯彻国家有关法律法规，保护和合理利用森林资源；</w:t>
      </w:r>
    </w:p>
    <w:p w:rsidR="00525ABA" w:rsidRDefault="00525ABA" w:rsidP="00525ABA">
      <w:pPr>
        <w:spacing w:line="530" w:lineRule="exact"/>
        <w:ind w:firstLineChars="300" w:firstLine="960"/>
        <w:rPr>
          <w:rFonts w:ascii="仿宋" w:eastAsia="仿宋" w:hAnsi="仿宋" w:cs="仿宋" w:hint="eastAsia"/>
          <w:sz w:val="32"/>
          <w:szCs w:val="32"/>
        </w:rPr>
      </w:pPr>
      <w:r>
        <w:rPr>
          <w:rFonts w:ascii="仿宋" w:eastAsia="仿宋" w:hAnsi="仿宋" w:cs="仿宋" w:hint="eastAsia"/>
          <w:sz w:val="32"/>
          <w:szCs w:val="32"/>
        </w:rPr>
        <w:t>2.按照米仓山森林公园发展总体规划和详细规划的编制实施；</w:t>
      </w:r>
    </w:p>
    <w:p w:rsidR="00525ABA" w:rsidRDefault="00525ABA" w:rsidP="00525ABA">
      <w:pPr>
        <w:spacing w:line="530" w:lineRule="exact"/>
        <w:ind w:firstLineChars="300" w:firstLine="960"/>
        <w:rPr>
          <w:rFonts w:ascii="仿宋" w:eastAsia="仿宋" w:hAnsi="仿宋" w:cs="仿宋" w:hint="eastAsia"/>
          <w:sz w:val="32"/>
          <w:szCs w:val="32"/>
        </w:rPr>
      </w:pPr>
      <w:r>
        <w:rPr>
          <w:rFonts w:ascii="仿宋" w:eastAsia="仿宋" w:hAnsi="仿宋" w:cs="仿宋" w:hint="eastAsia"/>
          <w:sz w:val="32"/>
          <w:szCs w:val="32"/>
        </w:rPr>
        <w:t>3.指导、督查大坝、魏家坝、玉泉、大江口、沙坝国有林场做好森林资源、野生动植物资源、水资源、环境的保护和护林防火、林业有害生物防治等工作；</w:t>
      </w:r>
    </w:p>
    <w:p w:rsidR="00525ABA" w:rsidRPr="00A20911" w:rsidRDefault="00525ABA" w:rsidP="00525ABA">
      <w:pPr>
        <w:ind w:firstLineChars="300" w:firstLine="960"/>
        <w:rPr>
          <w:rFonts w:ascii="仿宋" w:eastAsia="仿宋" w:hAnsi="仿宋" w:cs="仿宋"/>
          <w:sz w:val="32"/>
          <w:szCs w:val="32"/>
        </w:rPr>
      </w:pPr>
      <w:r>
        <w:rPr>
          <w:rFonts w:ascii="仿宋" w:eastAsia="仿宋" w:hAnsi="仿宋" w:cs="仿宋" w:hint="eastAsia"/>
          <w:sz w:val="32"/>
          <w:szCs w:val="32"/>
        </w:rPr>
        <w:t>4.按照《南江县2020年森林康养产业发展实施方案》（南森林康养办〔2020〕1号）文件要求，新创建省级森林</w:t>
      </w:r>
      <w:r>
        <w:rPr>
          <w:rFonts w:ascii="仿宋" w:eastAsia="仿宋" w:hAnsi="仿宋" w:cs="仿宋" w:hint="eastAsia"/>
          <w:sz w:val="32"/>
          <w:szCs w:val="32"/>
        </w:rPr>
        <w:lastRenderedPageBreak/>
        <w:t>康养基地1个、省级森林康养人家2个、市级森林康养基地1个、县级森林康养精品点4个，新创建各级森林人家4个。推动森林康养重点建设项目2个，产业融合发展示范基地1个。包装储备森林康养招商引资项目3个，引进落地森林康养产业项目1个，争取到位资金0.3亿元以上。举办1次县级“森林康养月”宣传活动、1次宣传推广特色活动，完成省级媒体宣传报道1次以上、市级媒体2次以上。积极培养森林康养专业人才，组织参加相关培训。加强全县各类森林康养基地生态环境建设和监管，夯实森林康养产业基础</w:t>
      </w:r>
    </w:p>
    <w:p w:rsidR="00747D3B" w:rsidRDefault="00747D3B" w:rsidP="00747D3B">
      <w:pPr>
        <w:ind w:firstLineChars="200" w:firstLine="640"/>
        <w:rPr>
          <w:rFonts w:ascii="黑体" w:eastAsia="黑体" w:hAnsi="黑体" w:cs="黑体"/>
          <w:sz w:val="32"/>
          <w:szCs w:val="32"/>
        </w:rPr>
      </w:pPr>
      <w:r>
        <w:rPr>
          <w:rFonts w:ascii="黑体" w:eastAsia="黑体" w:hAnsi="黑体" w:cs="黑体" w:hint="eastAsia"/>
          <w:sz w:val="32"/>
          <w:szCs w:val="32"/>
        </w:rPr>
        <w:t>二、部门概况</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南江县米仓山国家森林公园管理局实行综合预算制度，即全部收入和支出都纳入预算管理。主要包括1个预算单位。2020年财政预算供给人员共7人，供给车辆没有。无下属二级预算单位，无参照公务员法管理的事业单位，无其他事业单位。</w:t>
      </w:r>
    </w:p>
    <w:p w:rsidR="00747D3B" w:rsidRDefault="00747D3B" w:rsidP="00747D3B">
      <w:pPr>
        <w:ind w:firstLineChars="200" w:firstLine="640"/>
        <w:rPr>
          <w:rFonts w:ascii="黑体" w:eastAsia="黑体" w:hAnsi="黑体" w:cs="黑体"/>
          <w:sz w:val="32"/>
          <w:szCs w:val="32"/>
        </w:rPr>
      </w:pPr>
      <w:r>
        <w:rPr>
          <w:rFonts w:ascii="黑体" w:eastAsia="黑体" w:hAnsi="黑体" w:cs="黑体" w:hint="eastAsia"/>
          <w:sz w:val="32"/>
          <w:szCs w:val="32"/>
        </w:rPr>
        <w:t>三、收支预算情况</w:t>
      </w:r>
    </w:p>
    <w:p w:rsidR="00747D3B" w:rsidRPr="00A32C4A"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收入主要是一般公共预算拨款收入。支出包括：一般公共服务支出、社会保障与就业支出、医疗卫生与计划生育支出、住房保障支出等。</w:t>
      </w:r>
    </w:p>
    <w:p w:rsidR="00747D3B" w:rsidRDefault="00747D3B" w:rsidP="00747D3B">
      <w:pPr>
        <w:ind w:firstLineChars="150" w:firstLine="480"/>
        <w:rPr>
          <w:rFonts w:ascii="仿宋" w:eastAsia="仿宋" w:hAnsi="仿宋" w:cs="仿宋"/>
          <w:sz w:val="32"/>
          <w:szCs w:val="32"/>
        </w:rPr>
      </w:pPr>
      <w:r>
        <w:rPr>
          <w:rFonts w:ascii="仿宋" w:eastAsia="仿宋" w:hAnsi="仿宋" w:cs="仿宋" w:hint="eastAsia"/>
          <w:sz w:val="32"/>
          <w:szCs w:val="32"/>
        </w:rPr>
        <w:t>（一）收入情况。收入预算总额69.3207万元，比上年增加15.1081万元，其中：一般公共预算拨款收入69.3207万元，占总收入100%，政府性基金预算拨款收入没有。</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（二）支出情况。支出预算总额69.3207万元，比上年增加15.1081万元，其中：基本支出69.3207万元，占总支出100%，无项目支出。</w:t>
      </w:r>
    </w:p>
    <w:p w:rsidR="00747D3B" w:rsidRDefault="00747D3B" w:rsidP="00747D3B">
      <w:pPr>
        <w:ind w:firstLineChars="200" w:firstLine="640"/>
        <w:rPr>
          <w:rFonts w:ascii="黑体" w:eastAsia="黑体" w:hAnsi="黑体" w:cs="黑体"/>
          <w:sz w:val="32"/>
          <w:szCs w:val="32"/>
        </w:rPr>
      </w:pPr>
      <w:r>
        <w:rPr>
          <w:rFonts w:ascii="黑体" w:eastAsia="黑体" w:hAnsi="黑体" w:cs="黑体" w:hint="eastAsia"/>
          <w:sz w:val="32"/>
          <w:szCs w:val="32"/>
        </w:rPr>
        <w:t>四、财政拨款收支预算情况</w:t>
      </w:r>
    </w:p>
    <w:p w:rsidR="00747D3B" w:rsidRDefault="00747D3B" w:rsidP="00747D3B">
      <w:pPr>
        <w:ind w:firstLineChars="200" w:firstLine="640"/>
        <w:rPr>
          <w:rFonts w:ascii="仿宋" w:eastAsia="仿宋" w:hAnsi="仿宋" w:cs="仿宋"/>
          <w:color w:val="0000FF"/>
          <w:sz w:val="32"/>
          <w:szCs w:val="32"/>
        </w:rPr>
      </w:pPr>
      <w:r>
        <w:rPr>
          <w:rFonts w:ascii="仿宋" w:eastAsia="仿宋" w:hAnsi="仿宋" w:cs="仿宋" w:hint="eastAsia"/>
          <w:sz w:val="32"/>
          <w:szCs w:val="32"/>
        </w:rPr>
        <w:t>2020年财政拨款收支总预算69.3207万元，比上年财政拨款收支总预算增加15.1081万元，主要原因是人员增加。</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收入包括：一般公共预算拨款收入69.3207万元。支出包括：一般公共服务支出52.5351万元，社会保障与就业支出7.2668万元、医疗卫生与计划生育支出4.0687万元、住房保障支出5.4501万元。</w:t>
      </w:r>
    </w:p>
    <w:p w:rsidR="00747D3B" w:rsidRDefault="00747D3B" w:rsidP="00747D3B">
      <w:pPr>
        <w:ind w:firstLineChars="200" w:firstLine="640"/>
        <w:rPr>
          <w:rFonts w:ascii="仿宋" w:eastAsia="仿宋" w:hAnsi="仿宋" w:cs="仿宋"/>
          <w:sz w:val="32"/>
          <w:szCs w:val="32"/>
        </w:rPr>
      </w:pPr>
      <w:r>
        <w:rPr>
          <w:rFonts w:ascii="黑体" w:eastAsia="黑体" w:hAnsi="黑体" w:cs="黑体" w:hint="eastAsia"/>
          <w:sz w:val="32"/>
          <w:szCs w:val="32"/>
        </w:rPr>
        <w:t>五、一般公共预算当年拨款情况说明</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2020年一般公共预算财政拨款69.3207万元，比上年增加15.1081万元，主要原因是新进2人。</w:t>
      </w:r>
    </w:p>
    <w:p w:rsidR="00747D3B" w:rsidRDefault="00747D3B" w:rsidP="00747D3B">
      <w:pPr>
        <w:ind w:firstLineChars="200" w:firstLine="643"/>
        <w:rPr>
          <w:rFonts w:ascii="仿宋" w:eastAsia="仿宋" w:hAnsi="仿宋" w:cs="仿宋"/>
          <w:sz w:val="32"/>
          <w:szCs w:val="32"/>
        </w:rPr>
      </w:pPr>
      <w:r>
        <w:rPr>
          <w:rFonts w:ascii="仿宋" w:eastAsia="仿宋" w:hAnsi="仿宋" w:cs="仿宋" w:hint="eastAsia"/>
          <w:b/>
          <w:bCs/>
          <w:sz w:val="32"/>
          <w:szCs w:val="32"/>
        </w:rPr>
        <w:t>（一）</w:t>
      </w:r>
      <w:r>
        <w:rPr>
          <w:rFonts w:ascii="仿宋" w:eastAsia="仿宋" w:hAnsi="仿宋" w:cs="仿宋" w:hint="eastAsia"/>
          <w:sz w:val="32"/>
          <w:szCs w:val="32"/>
        </w:rPr>
        <w:t>基本支出69.3207万元，其中：</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1.人员支出63.0207万元，其中：基本工资25.4796万元，绩效工资17.5488万元，津贴补贴2.3892万元，机关事业单位养老保险7.2688万元，职工基本医疗保险缴费3.1792万元，其他社会保障缴费1.7070万元，住房公积金5.4501万元等。</w:t>
      </w:r>
    </w:p>
    <w:p w:rsidR="00747D3B" w:rsidRDefault="00747D3B" w:rsidP="00747D3B">
      <w:pPr>
        <w:ind w:firstLineChars="200" w:firstLine="640"/>
        <w:rPr>
          <w:rFonts w:ascii="仿宋" w:eastAsia="仿宋" w:hAnsi="仿宋" w:cs="仿宋"/>
          <w:color w:val="0000FF"/>
          <w:sz w:val="32"/>
          <w:szCs w:val="32"/>
        </w:rPr>
      </w:pPr>
      <w:r>
        <w:rPr>
          <w:rFonts w:ascii="仿宋" w:eastAsia="仿宋" w:hAnsi="仿宋" w:cs="仿宋" w:hint="eastAsia"/>
          <w:sz w:val="32"/>
          <w:szCs w:val="32"/>
        </w:rPr>
        <w:t>2.日常公用支出6.3万元，其中：办公费0.3万元，差旅费3.4562万元，培训费0.5万元，工会经费0.9084万元，福利费1.1355万元等。</w:t>
      </w:r>
    </w:p>
    <w:p w:rsidR="00747D3B" w:rsidRDefault="00747D3B" w:rsidP="00747D3B">
      <w:pPr>
        <w:ind w:firstLineChars="150" w:firstLine="480"/>
        <w:rPr>
          <w:rFonts w:ascii="仿宋" w:eastAsia="仿宋" w:hAnsi="仿宋" w:cs="仿宋"/>
          <w:sz w:val="32"/>
          <w:szCs w:val="32"/>
        </w:rPr>
      </w:pPr>
      <w:r>
        <w:rPr>
          <w:rFonts w:ascii="仿宋" w:eastAsia="仿宋" w:hAnsi="仿宋" w:cs="仿宋" w:hint="eastAsia"/>
          <w:sz w:val="32"/>
          <w:szCs w:val="32"/>
        </w:rPr>
        <w:lastRenderedPageBreak/>
        <w:t>（二）无项目支出。</w:t>
      </w:r>
    </w:p>
    <w:p w:rsidR="00747D3B" w:rsidRDefault="00747D3B" w:rsidP="00747D3B">
      <w:pPr>
        <w:ind w:firstLineChars="200" w:firstLine="640"/>
        <w:rPr>
          <w:rFonts w:ascii="黑体" w:eastAsia="黑体" w:hAnsi="黑体" w:cs="黑体"/>
          <w:sz w:val="32"/>
          <w:szCs w:val="32"/>
        </w:rPr>
      </w:pPr>
      <w:r>
        <w:rPr>
          <w:rFonts w:ascii="黑体" w:eastAsia="黑体" w:hAnsi="黑体" w:cs="黑体" w:hint="eastAsia"/>
          <w:sz w:val="32"/>
          <w:szCs w:val="32"/>
        </w:rPr>
        <w:t>六、“三公”经费财政拨款预算安排情况</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2020年</w:t>
      </w:r>
      <w:r w:rsidR="007448DE">
        <w:rPr>
          <w:rFonts w:ascii="仿宋" w:eastAsia="仿宋" w:hAnsi="仿宋" w:cs="仿宋" w:hint="eastAsia"/>
          <w:sz w:val="32"/>
          <w:szCs w:val="32"/>
        </w:rPr>
        <w:t>无</w:t>
      </w:r>
      <w:r>
        <w:rPr>
          <w:rFonts w:ascii="仿宋" w:eastAsia="仿宋" w:hAnsi="仿宋" w:cs="仿宋" w:hint="eastAsia"/>
          <w:sz w:val="32"/>
          <w:szCs w:val="32"/>
        </w:rPr>
        <w:t>“三公”经费财政拨款预算总额</w:t>
      </w:r>
      <w:r w:rsidR="007448DE">
        <w:rPr>
          <w:rFonts w:ascii="仿宋" w:eastAsia="仿宋" w:hAnsi="仿宋" w:cs="仿宋" w:hint="eastAsia"/>
          <w:sz w:val="32"/>
          <w:szCs w:val="32"/>
        </w:rPr>
        <w:t>，比上年预算总额减少0.3</w:t>
      </w:r>
      <w:r>
        <w:rPr>
          <w:rFonts w:ascii="仿宋" w:eastAsia="仿宋" w:hAnsi="仿宋" w:cs="仿宋" w:hint="eastAsia"/>
          <w:sz w:val="32"/>
          <w:szCs w:val="32"/>
        </w:rPr>
        <w:t>万元，其中：</w:t>
      </w:r>
    </w:p>
    <w:p w:rsidR="00747D3B" w:rsidRDefault="00747D3B" w:rsidP="00747D3B">
      <w:pPr>
        <w:numPr>
          <w:ilvl w:val="0"/>
          <w:numId w:val="3"/>
        </w:numPr>
        <w:ind w:firstLineChars="200" w:firstLine="640"/>
        <w:rPr>
          <w:rFonts w:ascii="仿宋" w:eastAsia="仿宋" w:hAnsi="仿宋" w:cs="仿宋"/>
          <w:sz w:val="32"/>
          <w:szCs w:val="32"/>
        </w:rPr>
      </w:pPr>
      <w:r>
        <w:rPr>
          <w:rFonts w:ascii="仿宋" w:eastAsia="仿宋" w:hAnsi="仿宋" w:cs="仿宋" w:hint="eastAsia"/>
          <w:sz w:val="32"/>
          <w:szCs w:val="32"/>
        </w:rPr>
        <w:t>无因公出国（境）经费。</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（二）无公务接待费。</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（三）无公务用车购置费。</w:t>
      </w:r>
    </w:p>
    <w:p w:rsidR="00747D3B" w:rsidRDefault="00747D3B" w:rsidP="00747D3B">
      <w:pPr>
        <w:ind w:firstLineChars="200" w:firstLine="640"/>
        <w:rPr>
          <w:rFonts w:ascii="黑体" w:eastAsia="黑体" w:hAnsi="黑体" w:cs="黑体"/>
          <w:sz w:val="32"/>
          <w:szCs w:val="32"/>
        </w:rPr>
      </w:pPr>
      <w:r>
        <w:rPr>
          <w:rFonts w:ascii="黑体" w:eastAsia="黑体" w:hAnsi="黑体" w:cs="黑体" w:hint="eastAsia"/>
          <w:sz w:val="32"/>
          <w:szCs w:val="32"/>
        </w:rPr>
        <w:t>七、政府性基金预算支出情况</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2020年无政府性基金预算支出。</w:t>
      </w:r>
    </w:p>
    <w:p w:rsidR="00747D3B" w:rsidRDefault="00747D3B" w:rsidP="00747D3B">
      <w:pPr>
        <w:ind w:firstLineChars="200" w:firstLine="640"/>
        <w:rPr>
          <w:rFonts w:ascii="黑体" w:eastAsia="黑体" w:hAnsi="黑体" w:cs="黑体"/>
          <w:sz w:val="32"/>
          <w:szCs w:val="32"/>
        </w:rPr>
      </w:pPr>
      <w:r>
        <w:rPr>
          <w:rFonts w:ascii="黑体" w:eastAsia="黑体" w:hAnsi="黑体" w:cs="黑体" w:hint="eastAsia"/>
          <w:sz w:val="32"/>
          <w:szCs w:val="32"/>
        </w:rPr>
        <w:t>八、国有资本经营预算支出情况</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2020无年国有资本经营预算支出</w:t>
      </w:r>
      <w:r w:rsidR="007448DE">
        <w:rPr>
          <w:rFonts w:ascii="仿宋" w:eastAsia="仿宋" w:hAnsi="仿宋" w:cs="仿宋" w:hint="eastAsia"/>
          <w:sz w:val="32"/>
          <w:szCs w:val="32"/>
        </w:rPr>
        <w:t>。</w:t>
      </w:r>
    </w:p>
    <w:p w:rsidR="00747D3B" w:rsidRDefault="00747D3B" w:rsidP="00747D3B">
      <w:pPr>
        <w:ind w:firstLineChars="200" w:firstLine="640"/>
        <w:rPr>
          <w:rFonts w:ascii="黑体" w:eastAsia="黑体" w:hAnsi="黑体" w:cs="黑体"/>
          <w:sz w:val="32"/>
          <w:szCs w:val="32"/>
        </w:rPr>
      </w:pPr>
      <w:r>
        <w:rPr>
          <w:rFonts w:ascii="黑体" w:eastAsia="黑体" w:hAnsi="黑体" w:cs="黑体" w:hint="eastAsia"/>
          <w:sz w:val="32"/>
          <w:szCs w:val="32"/>
        </w:rPr>
        <w:t>九、政府采购及政府购买公共服务情况</w:t>
      </w:r>
    </w:p>
    <w:p w:rsidR="00747D3B" w:rsidRDefault="007448DE" w:rsidP="00747D3B">
      <w:pPr>
        <w:ind w:firstLineChars="200" w:firstLine="640"/>
        <w:rPr>
          <w:rFonts w:ascii="仿宋" w:eastAsia="仿宋" w:hAnsi="仿宋" w:cs="仿宋"/>
          <w:color w:val="0000FF"/>
          <w:sz w:val="32"/>
          <w:szCs w:val="32"/>
        </w:rPr>
      </w:pPr>
      <w:r>
        <w:rPr>
          <w:rFonts w:ascii="仿宋" w:eastAsia="仿宋" w:hAnsi="仿宋" w:cs="仿宋" w:hint="eastAsia"/>
          <w:sz w:val="32"/>
          <w:szCs w:val="32"/>
        </w:rPr>
        <w:t>2020</w:t>
      </w:r>
      <w:r w:rsidR="00747D3B">
        <w:rPr>
          <w:rFonts w:ascii="仿宋" w:eastAsia="仿宋" w:hAnsi="仿宋" w:cs="仿宋" w:hint="eastAsia"/>
          <w:sz w:val="32"/>
          <w:szCs w:val="32"/>
        </w:rPr>
        <w:t>年</w:t>
      </w:r>
      <w:r>
        <w:rPr>
          <w:rFonts w:ascii="仿宋" w:eastAsia="仿宋" w:hAnsi="仿宋" w:cs="仿宋" w:hint="eastAsia"/>
          <w:sz w:val="32"/>
          <w:szCs w:val="32"/>
        </w:rPr>
        <w:t>无</w:t>
      </w:r>
      <w:r w:rsidR="00747D3B">
        <w:rPr>
          <w:rFonts w:ascii="仿宋" w:eastAsia="仿宋" w:hAnsi="仿宋" w:cs="仿宋" w:hint="eastAsia"/>
          <w:sz w:val="32"/>
          <w:szCs w:val="32"/>
        </w:rPr>
        <w:t>政府采购支出</w:t>
      </w:r>
      <w:r>
        <w:rPr>
          <w:rFonts w:ascii="仿宋" w:eastAsia="仿宋" w:hAnsi="仿宋" w:cs="仿宋" w:hint="eastAsia"/>
          <w:sz w:val="32"/>
          <w:szCs w:val="32"/>
        </w:rPr>
        <w:t>。</w:t>
      </w:r>
    </w:p>
    <w:p w:rsidR="00747D3B" w:rsidRDefault="00747D3B" w:rsidP="00747D3B">
      <w:pPr>
        <w:ind w:firstLineChars="200" w:firstLine="640"/>
        <w:rPr>
          <w:rFonts w:ascii="黑体" w:eastAsia="黑体" w:hAnsi="黑体" w:cs="黑体"/>
          <w:sz w:val="32"/>
          <w:szCs w:val="32"/>
        </w:rPr>
      </w:pPr>
      <w:r>
        <w:rPr>
          <w:rFonts w:ascii="黑体" w:eastAsia="黑体" w:hAnsi="黑体" w:cs="黑体" w:hint="eastAsia"/>
          <w:sz w:val="32"/>
          <w:szCs w:val="32"/>
        </w:rPr>
        <w:t>十、国有资产占用情况说明</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截止2018年底，本部门所属各预算单位无固定资产。</w:t>
      </w:r>
    </w:p>
    <w:p w:rsidR="00747D3B" w:rsidRDefault="00747D3B" w:rsidP="00747D3B">
      <w:pPr>
        <w:ind w:firstLineChars="200" w:firstLine="640"/>
        <w:rPr>
          <w:rFonts w:ascii="仿宋" w:eastAsia="仿宋" w:hAnsi="仿宋" w:cs="仿宋"/>
          <w:sz w:val="32"/>
          <w:szCs w:val="32"/>
        </w:rPr>
      </w:pPr>
      <w:r>
        <w:rPr>
          <w:rFonts w:ascii="黑体" w:eastAsia="黑体" w:hAnsi="黑体" w:cs="黑体" w:hint="eastAsia"/>
          <w:sz w:val="32"/>
          <w:szCs w:val="32"/>
        </w:rPr>
        <w:t>十一、绩效目标设置情况</w:t>
      </w:r>
    </w:p>
    <w:p w:rsidR="00747D3B" w:rsidRDefault="007448DE" w:rsidP="00747D3B">
      <w:pPr>
        <w:ind w:firstLineChars="200" w:firstLine="640"/>
        <w:rPr>
          <w:rFonts w:ascii="仿宋" w:eastAsia="仿宋" w:hAnsi="仿宋" w:cs="仿宋"/>
          <w:sz w:val="32"/>
          <w:szCs w:val="32"/>
        </w:rPr>
      </w:pPr>
      <w:r>
        <w:rPr>
          <w:rFonts w:ascii="仿宋" w:eastAsia="仿宋" w:hAnsi="仿宋" w:cs="仿宋" w:hint="eastAsia"/>
          <w:sz w:val="32"/>
          <w:szCs w:val="32"/>
        </w:rPr>
        <w:t>无重点项目预算</w:t>
      </w:r>
      <w:r w:rsidR="00747D3B">
        <w:rPr>
          <w:rFonts w:ascii="仿宋" w:eastAsia="仿宋" w:hAnsi="仿宋" w:cs="仿宋" w:hint="eastAsia"/>
          <w:sz w:val="32"/>
          <w:szCs w:val="32"/>
        </w:rPr>
        <w:t>。</w:t>
      </w:r>
    </w:p>
    <w:p w:rsidR="00747D3B" w:rsidRDefault="00747D3B" w:rsidP="00747D3B">
      <w:pPr>
        <w:ind w:firstLineChars="200" w:firstLine="640"/>
        <w:rPr>
          <w:rFonts w:ascii="仿宋" w:eastAsia="仿宋" w:hAnsi="仿宋" w:cs="仿宋"/>
          <w:color w:val="0000FF"/>
          <w:sz w:val="32"/>
          <w:szCs w:val="32"/>
        </w:rPr>
      </w:pPr>
      <w:r>
        <w:rPr>
          <w:rFonts w:ascii="黑体" w:eastAsia="黑体" w:hAnsi="黑体" w:cs="黑体" w:hint="eastAsia"/>
          <w:sz w:val="32"/>
          <w:szCs w:val="32"/>
        </w:rPr>
        <w:t>十二、名称解释</w:t>
      </w:r>
      <w:r>
        <w:rPr>
          <w:rFonts w:ascii="仿宋" w:eastAsia="仿宋" w:hAnsi="仿宋" w:cs="仿宋" w:hint="eastAsia"/>
          <w:color w:val="0000FF"/>
          <w:sz w:val="32"/>
          <w:szCs w:val="32"/>
        </w:rPr>
        <w:t>(根据单位实际情况作出名词解释)</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（一）一般公共预算拨款收入：指财政一般公共预算当年安排拨付的资金。</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（二）上年结转收入：指以前年度尚未完成，结转到本年仍按原规定用途继续使用的资金。</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（三）行政运行：指机关及参照公务员法管理事业单位用于保障正常运行、开展日常工作的基本支出。</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（四）事业运行：指事业单位用于保障机构正常运行、开展日常工作的基本支出。</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五）行政单位离退休：归口管理的行政单位离退休指实行归口管理的机关及参照公务员法管理事业单位用于离退休人员的支出。未归口管理的行政单位离退休指未实行归口管理的机关及参照公务员法管理事业单位用于离退休人员的支出。</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（六）事业单位离退休：指实行归口管理的事业单位用于离退休人员的支出。</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（七）机关事业单位基本养老保险缴费：指部门实施养老保险制度由单位缴纳的养老保险费的支出。</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（八）行政单位医疗：指机关及参照公务员法管理事业单位用于缴纳单位基本医疗保险支出。</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（九）事业单位医疗：指事业单位用于缴纳单位基本医疗保险支出。</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（十）公务员医疗补助：指机关及参公管理事业单位用于集中缴纳公务员医疗补助支出。</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（十一）住房公积金：指按照《住房公积金管理条例》的规定，由单位及其在职职工缴存的长期住房储金。</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（十二）基本支出：指为保证机构正常运转，完成日常</w:t>
      </w:r>
      <w:r>
        <w:rPr>
          <w:rFonts w:ascii="仿宋" w:eastAsia="仿宋" w:hAnsi="仿宋" w:cs="仿宋" w:hint="eastAsia"/>
          <w:sz w:val="32"/>
          <w:szCs w:val="32"/>
        </w:rPr>
        <w:lastRenderedPageBreak/>
        <w:t>工作任务而发生的人员支出和公用支出。</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（十三）项目支出：指在基本支出之外为完成特定行政任务和事业发展目标所发生的支出。</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十四）“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747D3B" w:rsidRDefault="00747D3B" w:rsidP="00747D3B">
      <w:pPr>
        <w:ind w:firstLineChars="200" w:firstLine="640"/>
        <w:rPr>
          <w:rFonts w:ascii="仿宋" w:eastAsia="仿宋" w:hAnsi="仿宋" w:cs="仿宋"/>
          <w:sz w:val="32"/>
          <w:szCs w:val="32"/>
        </w:rPr>
      </w:pPr>
      <w:r>
        <w:rPr>
          <w:rFonts w:ascii="仿宋" w:eastAsia="仿宋" w:hAnsi="仿宋" w:cs="仿宋" w:hint="eastAsia"/>
          <w:sz w:val="32"/>
          <w:szCs w:val="32"/>
        </w:rPr>
        <w:t xml:space="preserve"> （十五）日常公用经费：为保障部门运行用于购买货物和服务的各项资金。包括办公及印刷费、邮电费、差旅费、会议费、一般设备购置费等费用开支。</w:t>
      </w:r>
    </w:p>
    <w:p w:rsidR="00B82699" w:rsidRPr="00747D3B" w:rsidRDefault="00B82699"/>
    <w:sectPr w:rsidR="00B82699" w:rsidRPr="00747D3B" w:rsidSect="00843A8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DC5" w:rsidRDefault="00CF1DC5" w:rsidP="00747D3B">
      <w:r>
        <w:separator/>
      </w:r>
    </w:p>
  </w:endnote>
  <w:endnote w:type="continuationSeparator" w:id="1">
    <w:p w:rsidR="00CF1DC5" w:rsidRDefault="00CF1DC5" w:rsidP="00747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DC5" w:rsidRDefault="00CF1DC5" w:rsidP="00747D3B">
      <w:r>
        <w:separator/>
      </w:r>
    </w:p>
  </w:footnote>
  <w:footnote w:type="continuationSeparator" w:id="1">
    <w:p w:rsidR="00CF1DC5" w:rsidRDefault="00CF1DC5" w:rsidP="00747D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BC9297"/>
    <w:multiLevelType w:val="singleLevel"/>
    <w:tmpl w:val="A2BC9297"/>
    <w:lvl w:ilvl="0">
      <w:start w:val="1"/>
      <w:numFmt w:val="chineseCounting"/>
      <w:suff w:val="nothing"/>
      <w:lvlText w:val="（%1）"/>
      <w:lvlJc w:val="left"/>
      <w:rPr>
        <w:rFonts w:hint="eastAsia"/>
      </w:rPr>
    </w:lvl>
  </w:abstractNum>
  <w:abstractNum w:abstractNumId="1">
    <w:nsid w:val="A5AFC203"/>
    <w:multiLevelType w:val="singleLevel"/>
    <w:tmpl w:val="C1C89526"/>
    <w:lvl w:ilvl="0">
      <w:start w:val="1"/>
      <w:numFmt w:val="chineseCounting"/>
      <w:suff w:val="nothing"/>
      <w:lvlText w:val="%1、"/>
      <w:lvlJc w:val="left"/>
      <w:rPr>
        <w:rFonts w:hint="eastAsia"/>
        <w:color w:val="auto"/>
        <w:sz w:val="36"/>
      </w:rPr>
    </w:lvl>
  </w:abstractNum>
  <w:abstractNum w:abstractNumId="2">
    <w:nsid w:val="5D62FB09"/>
    <w:multiLevelType w:val="singleLevel"/>
    <w:tmpl w:val="5D62FB09"/>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7D3B"/>
    <w:rsid w:val="001E010C"/>
    <w:rsid w:val="00525ABA"/>
    <w:rsid w:val="007448DE"/>
    <w:rsid w:val="00747D3B"/>
    <w:rsid w:val="00843A82"/>
    <w:rsid w:val="00A20911"/>
    <w:rsid w:val="00AF2EC0"/>
    <w:rsid w:val="00B82699"/>
    <w:rsid w:val="00CD3E6A"/>
    <w:rsid w:val="00CF1DC5"/>
    <w:rsid w:val="00F45C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3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7D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7D3B"/>
    <w:rPr>
      <w:sz w:val="18"/>
      <w:szCs w:val="18"/>
    </w:rPr>
  </w:style>
  <w:style w:type="paragraph" w:styleId="a4">
    <w:name w:val="footer"/>
    <w:basedOn w:val="a"/>
    <w:link w:val="Char0"/>
    <w:uiPriority w:val="99"/>
    <w:semiHidden/>
    <w:unhideWhenUsed/>
    <w:rsid w:val="00747D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7D3B"/>
    <w:rPr>
      <w:sz w:val="18"/>
      <w:szCs w:val="18"/>
    </w:rPr>
  </w:style>
  <w:style w:type="paragraph" w:styleId="a5">
    <w:name w:val="List Paragraph"/>
    <w:basedOn w:val="a"/>
    <w:uiPriority w:val="34"/>
    <w:qFormat/>
    <w:rsid w:val="00F45CD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399</Words>
  <Characters>2279</Characters>
  <Application>Microsoft Office Word</Application>
  <DocSecurity>0</DocSecurity>
  <Lines>18</Lines>
  <Paragraphs>5</Paragraphs>
  <ScaleCrop>false</ScaleCrop>
  <Company>Microsoft</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ASUS123</dc:creator>
  <cp:keywords/>
  <dc:description/>
  <cp:lastModifiedBy>ASUS123</cp:lastModifiedBy>
  <cp:revision>8</cp:revision>
  <dcterms:created xsi:type="dcterms:W3CDTF">2020-06-01T08:46:00Z</dcterms:created>
  <dcterms:modified xsi:type="dcterms:W3CDTF">2020-06-02T02:31:00Z</dcterms:modified>
</cp:coreProperties>
</file>